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福建省军用饮食供应站军供保障社会化餐饮服务项目(二次)</w:t>
      </w:r>
    </w:p>
    <w:p>
      <w:pPr>
        <w:pStyle w:val="null3"/>
        <w:jc w:val="center"/>
        <w:outlineLvl w:val="2"/>
      </w:pPr>
      <w:r>
        <w:rPr>
          <w:b/>
          <w:sz w:val="28"/>
        </w:rPr>
        <w:t>备案编号：</w:t>
      </w:r>
      <w:r>
        <w:rPr>
          <w:b/>
          <w:sz w:val="28"/>
        </w:rPr>
        <w:t>CGXM-2023-350001-11423[2023]08684</w:t>
      </w:r>
    </w:p>
    <w:p>
      <w:pPr>
        <w:pStyle w:val="null3"/>
        <w:jc w:val="center"/>
        <w:outlineLvl w:val="2"/>
      </w:pPr>
      <w:r>
        <w:rPr>
          <w:b/>
          <w:sz w:val="28"/>
        </w:rPr>
        <w:t>项目编号：</w:t>
      </w:r>
      <w:r>
        <w:rPr>
          <w:b/>
          <w:sz w:val="28"/>
        </w:rPr>
        <w:t>[350001]HMZB[GK]2023044-1</w:t>
      </w:r>
    </w:p>
    <w:p>
      <w:pPr>
        <w:pStyle w:val="null3"/>
        <w:jc w:val="center"/>
        <w:outlineLvl w:val="2"/>
      </w:pPr>
      <w:r>
        <w:rPr>
          <w:b/>
          <w:sz w:val="28"/>
        </w:rPr>
        <w:t>采购人：</w:t>
      </w:r>
      <w:r>
        <w:rPr>
          <w:b/>
          <w:sz w:val="28"/>
        </w:rPr>
        <w:t>福建省军用饮食供应站</w:t>
      </w:r>
    </w:p>
    <w:p>
      <w:pPr>
        <w:pStyle w:val="null3"/>
        <w:jc w:val="center"/>
        <w:outlineLvl w:val="2"/>
      </w:pPr>
      <w:r>
        <w:rPr>
          <w:b/>
          <w:sz w:val="28"/>
        </w:rPr>
        <w:t>代理机构：</w:t>
      </w:r>
      <w:r>
        <w:rPr>
          <w:b/>
          <w:sz w:val="28"/>
        </w:rPr>
        <w:t>福建华闽招标有限公司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福建华闽招标有限公司</w:t>
      </w:r>
      <w:r>
        <w:rPr/>
        <w:t xml:space="preserve"> 采用公开招标方式组织 </w:t>
      </w:r>
      <w:r>
        <w:rPr/>
        <w:t>福建省军用饮食供应站军供保障社会化餐饮服务项目(二次)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CGXM-2023-350001-11423[2023]08684</w:t>
      </w:r>
    </w:p>
    <w:p>
      <w:pPr>
        <w:pStyle w:val="null3"/>
        <w:ind w:firstLine="480"/>
        <w:jc w:val="left"/>
        <w:outlineLvl w:val="2"/>
      </w:pPr>
      <w:r>
        <w:rPr>
          <w:b/>
          <w:sz w:val="28"/>
        </w:rPr>
        <w:t>2、项目编号</w:t>
      </w:r>
      <w:r>
        <w:rPr>
          <w:b/>
          <w:sz w:val="28"/>
        </w:rPr>
        <w:t>：</w:t>
      </w:r>
      <w:r>
        <w:rPr>
          <w:b/>
          <w:sz w:val="28"/>
        </w:rPr>
        <w:t>[350001]HMZB[GK]2023044-1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1、根据《财政部、工业和信息化部关于印发（政府采购促进中小企业发展管理办法）的通知》（财库〔2020〕46号）文件规定，本项目为专门面向中小企业开展政府采购活动，投标人必须为中小企业。投标时必须提供 《中小企业声明函》，格式见第七章《投标文件格式》（服务类）。2、投标人为监狱企业的视同小型和微型企业，可不提供以上第1点材料，但应当提供由省级以上监狱管理局、戒毒管理局(含新疆生产建设兵团)出具的属于监狱企业的证明文件。 3、投标人为残疾人福利性单位的视同小型和微型企业，可不提供以上第1点材料，但应当提供《残疾人福利性单位声明函》，格式见第七章《投标文件格式》。4.本项目为服务类采购项目，采购标的对应的中小企业划分标准所属行业为“餐饮业”。</w:t>
            </w:r>
          </w:p>
        </w:tc>
      </w:tr>
      <w:tr>
        <w:tc>
          <w:tcPr>
            <w:tcW w:type="dxa" w:w="3692"/>
          </w:tcPr>
          <w:p>
            <w:pPr>
              <w:pStyle w:val="null3"/>
              <w:jc w:val="both"/>
            </w:pPr>
            <w:r>
              <w:rPr/>
              <w:t>招标文件规定的其他资格证明文件</w:t>
            </w:r>
          </w:p>
        </w:tc>
        <w:tc>
          <w:tcPr>
            <w:tcW w:type="dxa" w:w="4614"/>
          </w:tcPr>
          <w:p>
            <w:pPr>
              <w:pStyle w:val="null3"/>
              <w:jc w:val="both"/>
            </w:pPr>
            <w:r>
              <w:rPr/>
              <w:t>投标人应具备集体用餐配送的食品经营许可证，须提供有效期内的证书复印件。</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福建省军用饮食供应站</w:t>
      </w:r>
    </w:p>
    <w:p>
      <w:pPr>
        <w:pStyle w:val="null3"/>
        <w:ind w:firstLine="960"/>
        <w:jc w:val="left"/>
      </w:pPr>
    </w:p>
    <w:p>
      <w:pPr>
        <w:pStyle w:val="null3"/>
        <w:jc w:val="left"/>
      </w:pPr>
    </w:p>
    <w:p>
      <w:pPr>
        <w:pStyle w:val="null3"/>
        <w:jc w:val="left"/>
      </w:pPr>
      <w:r>
        <w:rPr/>
        <w:t xml:space="preserve"> 地址： </w:t>
      </w:r>
      <w:r>
        <w:rPr/>
        <w:t>福州市鼓楼区五一北路88号</w:t>
      </w:r>
    </w:p>
    <w:p>
      <w:pPr>
        <w:pStyle w:val="null3"/>
        <w:jc w:val="left"/>
      </w:pPr>
      <w:r>
        <w:rPr/>
        <w:t xml:space="preserve"> 邮编： </w:t>
      </w:r>
      <w:r>
        <w:rPr/>
        <w:t>350001</w:t>
      </w:r>
    </w:p>
    <w:p>
      <w:pPr>
        <w:pStyle w:val="null3"/>
        <w:jc w:val="left"/>
      </w:pPr>
      <w:r>
        <w:rPr/>
        <w:t xml:space="preserve"> 联系人： </w:t>
      </w:r>
      <w:r>
        <w:rPr/>
        <w:t>王宁</w:t>
      </w:r>
    </w:p>
    <w:p>
      <w:pPr>
        <w:pStyle w:val="null3"/>
        <w:jc w:val="left"/>
      </w:pPr>
      <w:r>
        <w:rPr/>
        <w:t xml:space="preserve"> 联系电话： </w:t>
      </w:r>
      <w:r>
        <w:rPr/>
        <w:t>0591-87564077</w:t>
      </w:r>
    </w:p>
    <w:p>
      <w:pPr>
        <w:pStyle w:val="null3"/>
        <w:ind w:firstLine="480"/>
        <w:jc w:val="left"/>
        <w:outlineLvl w:val="2"/>
      </w:pPr>
      <w:r>
        <w:rPr>
          <w:b/>
          <w:sz w:val="28"/>
        </w:rPr>
        <w:t>12、代理机构</w:t>
      </w:r>
      <w:r>
        <w:rPr>
          <w:b/>
          <w:sz w:val="28"/>
        </w:rPr>
        <w:t>：</w:t>
      </w:r>
      <w:r>
        <w:rPr>
          <w:b/>
          <w:sz w:val="28"/>
        </w:rPr>
        <w:t>福建华闽招标有限公司</w:t>
      </w:r>
    </w:p>
    <w:p>
      <w:pPr>
        <w:pStyle w:val="null3"/>
        <w:ind w:firstLine="960"/>
        <w:jc w:val="both"/>
      </w:pPr>
    </w:p>
    <w:p>
      <w:pPr>
        <w:pStyle w:val="null3"/>
        <w:jc w:val="both"/>
      </w:pPr>
    </w:p>
    <w:p>
      <w:pPr>
        <w:pStyle w:val="null3"/>
        <w:jc w:val="both"/>
      </w:pPr>
      <w:r>
        <w:rPr/>
        <w:t xml:space="preserve"> 地址： </w:t>
      </w:r>
      <w:r>
        <w:rPr/>
        <w:t>福建省福州市鼓楼区华林路128号屏东写字楼19层</w:t>
      </w:r>
    </w:p>
    <w:p>
      <w:pPr>
        <w:pStyle w:val="null3"/>
        <w:jc w:val="both"/>
      </w:pPr>
      <w:r>
        <w:rPr/>
        <w:t xml:space="preserve"> 邮编： </w:t>
      </w:r>
      <w:r>
        <w:rPr/>
        <w:t>350003</w:t>
      </w:r>
    </w:p>
    <w:p>
      <w:pPr>
        <w:pStyle w:val="null3"/>
        <w:jc w:val="both"/>
      </w:pPr>
      <w:r>
        <w:rPr/>
        <w:t xml:space="preserve"> 联系人： </w:t>
      </w:r>
      <w:r>
        <w:rPr/>
        <w:t>林瑾南、张凌璇、黄颖</w:t>
      </w:r>
    </w:p>
    <w:p>
      <w:pPr>
        <w:pStyle w:val="null3"/>
        <w:jc w:val="both"/>
      </w:pPr>
      <w:r>
        <w:rPr/>
        <w:t xml:space="preserve"> 联系电话： </w:t>
      </w:r>
      <w:r>
        <w:rPr/>
        <w:t>0591-87819582</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p>
            <w:pPr>
              <w:pStyle w:val="null3"/>
              <w:jc w:val="center"/>
            </w:pPr>
          </w:p>
        </w:tc>
      </w:tr>
      <w:tr>
        <w:tc>
          <w:tcPr>
            <w:tcW w:type="dxa" w:w="8306"/>
          </w:tcPr>
          <w:p>
            <w:pPr>
              <w:pStyle w:val="null3"/>
            </w:pPr>
            <w:r>
              <w:rPr/>
              <w:t xml:space="preserve">开户名称： </w:t>
            </w:r>
            <w:r>
              <w:rPr/>
              <w:t>福建华闽招标有限公司</w:t>
            </w:r>
          </w:p>
        </w:tc>
      </w:tr>
      <w:tr>
        <w:tc>
          <w:tcPr>
            <w:tcW w:type="dxa" w:w="8306"/>
          </w:tcPr>
          <w:p>
            <w:pPr>
              <w:pStyle w:val="null3"/>
            </w:pPr>
            <w:r>
              <w:rPr/>
              <w:t>开户银行：供应商在福建省政府采购网上公开信息系统获取招标文件后，根据其提示自行选择要缴交的投标保证金托管银行。</w:t>
            </w:r>
          </w:p>
        </w:tc>
      </w:tr>
      <w:tr>
        <w:tc>
          <w:tcPr>
            <w:tcW w:type="dxa" w:w="8306"/>
          </w:tcPr>
          <w:p>
            <w:pPr>
              <w:pStyle w:val="null3"/>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t>特别提示</w:t>
            </w:r>
          </w:p>
        </w:tc>
      </w:tr>
      <w:tr>
        <w:tc>
          <w:tcPr>
            <w:tcW w:type="dxa" w:w="8306"/>
          </w:tcPr>
          <w:p>
            <w:pPr>
              <w:pStyle w:val="null3"/>
            </w:pPr>
            <w:r>
              <w:rPr/>
              <w:t>1、投标人应认真核对账户信息，将投标保证金汇入以上账户，并自行承担因汇错投标保证金而产生的一切后果。</w:t>
            </w:r>
          </w:p>
          <w:p>
            <w:pPr>
              <w:pStyle w:val="null3"/>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1,371,600.00</w:t>
      </w:r>
    </w:p>
    <w:p>
      <w:pPr>
        <w:pStyle w:val="null3"/>
        <w:jc w:val="left"/>
      </w:pPr>
      <w:r>
        <w:rPr/>
        <w:t>采购包最高限价（元）: 1,371,600.00</w:t>
      </w:r>
    </w:p>
    <w:p>
      <w:pPr>
        <w:pStyle w:val="null3"/>
        <w:jc w:val="left"/>
      </w:pPr>
      <w:r>
        <w:rPr/>
        <w:t>采购包保证金金额（元）: 13,716.00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餐饮服务</w:t>
            </w:r>
          </w:p>
        </w:tc>
        <w:tc>
          <w:tcPr>
            <w:tcW w:type="dxa" w:w="1187"/>
          </w:tcPr>
          <w:p>
            <w:pPr>
              <w:pStyle w:val="null3"/>
              <w:jc w:val="right"/>
            </w:pPr>
            <w:r>
              <w:rPr/>
              <w:t>1.00</w:t>
            </w:r>
          </w:p>
        </w:tc>
        <w:tc>
          <w:tcPr>
            <w:tcW w:type="dxa" w:w="1187"/>
          </w:tcPr>
          <w:p>
            <w:pPr>
              <w:pStyle w:val="null3"/>
              <w:jc w:val="right"/>
            </w:pPr>
            <w:r>
              <w:rPr/>
              <w:t>1,371,600.00</w:t>
            </w:r>
          </w:p>
        </w:tc>
        <w:tc>
          <w:tcPr>
            <w:tcW w:type="dxa" w:w="1187"/>
          </w:tcPr>
          <w:p>
            <w:pPr>
              <w:pStyle w:val="null3"/>
              <w:jc w:val="left"/>
            </w:pPr>
            <w:r>
              <w:rPr/>
              <w:t>项</w:t>
            </w:r>
          </w:p>
        </w:tc>
        <w:tc>
          <w:tcPr>
            <w:tcW w:type="dxa" w:w="1187"/>
          </w:tcPr>
          <w:p>
            <w:pPr>
              <w:pStyle w:val="null3"/>
              <w:jc w:val="left"/>
            </w:pPr>
            <w:r>
              <w:rPr/>
              <w:t>餐饮业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t>特别提示：本表与招标文件对应章节的内容若不一致，以本表为准。</w:t>
            </w:r>
          </w:p>
        </w:tc>
      </w:tr>
      <w:tr>
        <w:tc>
          <w:tcPr>
            <w:tcW w:type="dxa" w:w="2769"/>
          </w:tcPr>
          <w:p>
            <w:pPr>
              <w:pStyle w:val="null3"/>
            </w:pPr>
            <w:r>
              <w:rPr/>
              <w:t>序号</w:t>
            </w:r>
          </w:p>
        </w:tc>
        <w:tc>
          <w:tcPr>
            <w:tcW w:type="dxa" w:w="2769"/>
          </w:tcPr>
          <w:p>
            <w:pPr>
              <w:pStyle w:val="null3"/>
            </w:pPr>
            <w:r>
              <w:rPr/>
              <w:t>招标文件</w:t>
            </w:r>
          </w:p>
          <w:p>
            <w:pPr>
              <w:pStyle w:val="null3"/>
            </w:pPr>
          </w:p>
          <w:p>
            <w:pPr>
              <w:pStyle w:val="null3"/>
            </w:pPr>
            <w:r>
              <w:rPr/>
              <w:t xml:space="preserve"> （第三章）</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6.1</w:t>
            </w: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2</w:t>
            </w:r>
          </w:p>
        </w:tc>
        <w:tc>
          <w:tcPr>
            <w:tcW w:type="dxa" w:w="2769"/>
          </w:tcPr>
          <w:p>
            <w:pPr>
              <w:pStyle w:val="null3"/>
            </w:pPr>
            <w:r>
              <w:rPr/>
              <w:t>10.4</w:t>
            </w:r>
          </w:p>
        </w:tc>
        <w:tc>
          <w:tcPr>
            <w:tcW w:type="dxa" w:w="2769"/>
          </w:tcPr>
          <w:p>
            <w:pPr>
              <w:pStyle w:val="null3"/>
            </w:pPr>
            <w:r>
              <w:rPr/>
              <w:t>投标文件的份数：</w:t>
            </w:r>
          </w:p>
          <w:p>
            <w:pPr>
              <w:pStyle w:val="null3"/>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pPr>
            <w:r>
              <w:rPr/>
              <w:t xml:space="preserve"> （2）电子投标文件：详见投标人须知前附表2《关于电子招标投标活动的专门规定》。</w:t>
            </w:r>
          </w:p>
        </w:tc>
      </w:tr>
      <w:tr>
        <w:tc>
          <w:tcPr>
            <w:tcW w:type="dxa" w:w="2769"/>
          </w:tcPr>
          <w:p>
            <w:pPr>
              <w:pStyle w:val="null3"/>
            </w:pPr>
            <w:r>
              <w:rPr/>
              <w:t>3</w:t>
            </w:r>
          </w:p>
        </w:tc>
        <w:tc>
          <w:tcPr>
            <w:tcW w:type="dxa" w:w="2769"/>
          </w:tcPr>
          <w:p>
            <w:pPr>
              <w:pStyle w:val="null3"/>
            </w:pPr>
            <w:r>
              <w:rPr/>
              <w:t>10.7-（1）</w:t>
            </w:r>
          </w:p>
        </w:tc>
        <w:tc>
          <w:tcPr>
            <w:tcW w:type="dxa" w:w="2769"/>
          </w:tcPr>
          <w:p>
            <w:pPr>
              <w:pStyle w:val="null3"/>
            </w:pPr>
            <w:r>
              <w:rPr/>
              <w:t>是否允许中标人将本项目的非主体、非关键性工作进行分包：</w:t>
            </w:r>
          </w:p>
          <w:p>
            <w:pPr>
              <w:pStyle w:val="null3"/>
            </w:pPr>
          </w:p>
          <w:p>
            <w:pPr>
              <w:pStyle w:val="null3"/>
            </w:pPr>
          </w:p>
          <w:p>
            <w:pPr>
              <w:pStyle w:val="null3"/>
            </w:pPr>
          </w:p>
          <w:p>
            <w:pPr>
              <w:pStyle w:val="null3"/>
            </w:pPr>
            <w:r>
              <w:rPr/>
              <w:t>采购包1：不允许合同分包；</w:t>
            </w:r>
          </w:p>
        </w:tc>
      </w:tr>
      <w:tr>
        <w:tc>
          <w:tcPr>
            <w:tcW w:type="dxa" w:w="2769"/>
          </w:tcPr>
          <w:p>
            <w:pPr>
              <w:pStyle w:val="null3"/>
            </w:pPr>
            <w:r>
              <w:rPr/>
              <w:t>4</w:t>
            </w:r>
          </w:p>
        </w:tc>
        <w:tc>
          <w:tcPr>
            <w:tcW w:type="dxa" w:w="2769"/>
          </w:tcPr>
          <w:p>
            <w:pPr>
              <w:pStyle w:val="null3"/>
            </w:pPr>
            <w:r>
              <w:rPr/>
              <w:t>10.8-（1）</w:t>
            </w:r>
          </w:p>
        </w:tc>
        <w:tc>
          <w:tcPr>
            <w:tcW w:type="dxa" w:w="2769"/>
          </w:tcPr>
          <w:p>
            <w:pPr>
              <w:pStyle w:val="null3"/>
            </w:pPr>
            <w:r>
              <w:rPr/>
              <w:t xml:space="preserve">投标有效期：投标截止时间起 </w:t>
            </w:r>
            <w:r>
              <w:rPr/>
              <w:t>90</w:t>
            </w:r>
            <w:r>
              <w:rPr/>
              <w:t xml:space="preserve"> 个日历日。</w:t>
            </w:r>
          </w:p>
        </w:tc>
      </w:tr>
      <w:tr>
        <w:tc>
          <w:tcPr>
            <w:tcW w:type="dxa" w:w="2769"/>
          </w:tcPr>
          <w:p>
            <w:pPr>
              <w:pStyle w:val="null3"/>
            </w:pPr>
            <w:r>
              <w:rPr/>
              <w:t>5</w:t>
            </w:r>
          </w:p>
        </w:tc>
        <w:tc>
          <w:tcPr>
            <w:tcW w:type="dxa" w:w="2769"/>
          </w:tcPr>
          <w:p>
            <w:pPr>
              <w:pStyle w:val="null3"/>
            </w:pPr>
            <w:r>
              <w:rPr/>
              <w:t>12.1</w:t>
            </w:r>
          </w:p>
        </w:tc>
        <w:tc>
          <w:tcPr>
            <w:tcW w:type="dxa" w:w="2769"/>
          </w:tcPr>
          <w:p>
            <w:pPr>
              <w:pStyle w:val="null3"/>
            </w:pPr>
            <w:r>
              <w:rPr/>
              <w:t>确定中标候选人名单：</w:t>
            </w:r>
          </w:p>
          <w:p>
            <w:pPr>
              <w:pStyle w:val="null3"/>
            </w:pPr>
          </w:p>
          <w:p>
            <w:pPr>
              <w:pStyle w:val="null3"/>
            </w:pPr>
            <w:r>
              <w:rPr/>
              <w:t>采购包1：1名</w:t>
            </w:r>
          </w:p>
        </w:tc>
      </w:tr>
      <w:tr>
        <w:tc>
          <w:tcPr>
            <w:tcW w:type="dxa" w:w="2769"/>
          </w:tcPr>
          <w:p>
            <w:pPr>
              <w:pStyle w:val="null3"/>
            </w:pPr>
            <w:r>
              <w:rPr/>
              <w:t>6</w:t>
            </w:r>
          </w:p>
        </w:tc>
        <w:tc>
          <w:tcPr>
            <w:tcW w:type="dxa" w:w="2769"/>
          </w:tcPr>
          <w:p>
            <w:pPr>
              <w:pStyle w:val="null3"/>
            </w:pPr>
            <w:r>
              <w:rPr/>
              <w:t>12.2</w:t>
            </w:r>
          </w:p>
        </w:tc>
        <w:tc>
          <w:tcPr>
            <w:tcW w:type="dxa" w:w="2769"/>
          </w:tcPr>
          <w:p>
            <w:pPr>
              <w:pStyle w:val="null3"/>
            </w:pPr>
            <w:r>
              <w:rPr/>
              <w:t>本项目中标人的确定（以采购包为单位）：</w:t>
            </w:r>
          </w:p>
          <w:p>
            <w:pPr>
              <w:pStyle w:val="null3"/>
            </w:pPr>
            <w:r>
              <w:rPr/>
              <w:t xml:space="preserve"> （1） </w:t>
            </w:r>
            <w:r>
              <w:rPr/>
              <w:t>采购人应在政府采购招投标管理办法规定的时限内确定中标人。</w:t>
            </w:r>
          </w:p>
          <w:p>
            <w:pPr>
              <w:pStyle w:val="null3"/>
            </w:pPr>
            <w:r>
              <w:rPr/>
              <w:t xml:space="preserve"> （2）若出现中标候选人并列情形，则按照下列方式确定中标人：</w:t>
            </w:r>
          </w:p>
          <w:p>
            <w:pPr>
              <w:pStyle w:val="null3"/>
            </w:pPr>
            <w:r>
              <w:rPr/>
              <w:t xml:space="preserve"> ①招标文件规定的方式：</w:t>
            </w:r>
          </w:p>
          <w:p>
            <w:pPr>
              <w:pStyle w:val="null3"/>
            </w:pPr>
            <w:r>
              <w:rPr/>
              <w:t>无</w:t>
            </w:r>
          </w:p>
          <w:p>
            <w:pPr>
              <w:pStyle w:val="null3"/>
            </w:pPr>
            <w:r>
              <w:rPr/>
              <w:t xml:space="preserve"> ②若本款第①点规定方式为“无”，则按照下列方式确定：</w:t>
            </w:r>
          </w:p>
          <w:p>
            <w:pPr>
              <w:pStyle w:val="null3"/>
            </w:pPr>
            <w:r>
              <w:rPr/>
              <w:t>无</w:t>
            </w:r>
          </w:p>
          <w:p>
            <w:pPr>
              <w:pStyle w:val="null3"/>
            </w:pPr>
            <w:r>
              <w:rPr/>
              <w:t xml:space="preserve"> ③若本款第①、②点规定方式均为“无”，则按照下列方式确定：随机抽取。</w:t>
            </w:r>
          </w:p>
          <w:p>
            <w:pPr>
              <w:pStyle w:val="null3"/>
            </w:pPr>
            <w:r>
              <w:rPr/>
              <w:t xml:space="preserve"> （3）本项目确定的中标人家数：</w:t>
            </w:r>
          </w:p>
          <w:p>
            <w:pPr>
              <w:pStyle w:val="null3"/>
            </w:pPr>
          </w:p>
          <w:p>
            <w:pPr>
              <w:pStyle w:val="null3"/>
            </w:pPr>
            <w:r>
              <w:rPr/>
              <w:t>采购包1：1名</w:t>
            </w:r>
          </w:p>
        </w:tc>
      </w:tr>
      <w:tr>
        <w:tc>
          <w:tcPr>
            <w:tcW w:type="dxa" w:w="2769"/>
          </w:tcPr>
          <w:p>
            <w:pPr>
              <w:pStyle w:val="null3"/>
            </w:pPr>
            <w:r>
              <w:rPr/>
              <w:t>7</w:t>
            </w:r>
          </w:p>
        </w:tc>
        <w:tc>
          <w:tcPr>
            <w:tcW w:type="dxa" w:w="2769"/>
          </w:tcPr>
          <w:p>
            <w:pPr>
              <w:pStyle w:val="null3"/>
            </w:pPr>
            <w:r>
              <w:rPr/>
              <w:t>13.2</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8</w:t>
            </w:r>
          </w:p>
        </w:tc>
        <w:tc>
          <w:tcPr>
            <w:tcW w:type="dxa" w:w="2769"/>
          </w:tcPr>
          <w:p>
            <w:pPr>
              <w:pStyle w:val="null3"/>
            </w:pPr>
            <w:r>
              <w:rPr/>
              <w:t>15.1-（2）</w:t>
            </w:r>
          </w:p>
        </w:tc>
        <w:tc>
          <w:tcPr>
            <w:tcW w:type="dxa" w:w="2769"/>
          </w:tcPr>
          <w:p>
            <w:pPr>
              <w:pStyle w:val="null3"/>
            </w:pPr>
            <w:r>
              <w:rPr/>
              <w:t>质疑函原件应采用下列方式提交：书面形式。</w:t>
            </w:r>
          </w:p>
        </w:tc>
      </w:tr>
      <w:tr>
        <w:tc>
          <w:tcPr>
            <w:tcW w:type="dxa" w:w="2769"/>
          </w:tcPr>
          <w:p>
            <w:pPr>
              <w:pStyle w:val="null3"/>
            </w:pPr>
            <w:r>
              <w:rPr/>
              <w:t>9</w:t>
            </w:r>
          </w:p>
        </w:tc>
        <w:tc>
          <w:tcPr>
            <w:tcW w:type="dxa" w:w="2769"/>
          </w:tcPr>
          <w:p>
            <w:pPr>
              <w:pStyle w:val="null3"/>
            </w:pPr>
            <w:r>
              <w:rPr/>
              <w:t>15.4</w:t>
            </w:r>
          </w:p>
        </w:tc>
        <w:tc>
          <w:tcPr>
            <w:tcW w:type="dxa" w:w="2769"/>
          </w:tcPr>
          <w:p>
            <w:pPr>
              <w:pStyle w:val="null3"/>
            </w:pPr>
            <w:r>
              <w:rPr/>
              <w:t>招标文件的质疑</w:t>
            </w:r>
          </w:p>
          <w:p>
            <w:pPr>
              <w:pStyle w:val="null3"/>
            </w:pPr>
            <w:r>
              <w:rPr/>
              <w:t xml:space="preserve"> （1）潜在投标人可在质疑时效期间内对招标文件以书面形式提出质疑。</w:t>
            </w:r>
          </w:p>
          <w:p>
            <w:pPr>
              <w:pStyle w:val="null3"/>
            </w:pPr>
            <w:r>
              <w:rPr/>
              <w:t xml:space="preserve"> （2）质疑时效期间：应在依法获取招标文件之日起7个工作日内向 </w:t>
            </w:r>
            <w:r>
              <w:rPr/>
              <w:t>福建华闽招标有限公司</w:t>
            </w:r>
            <w:r>
              <w:rPr/>
              <w:t xml:space="preserve"> 提出，依法获取招标文件的时间以福建省政府采购网上公开信息系统记载的为准。</w:t>
            </w:r>
          </w:p>
          <w:p>
            <w:pPr>
              <w:pStyle w:val="null3"/>
            </w:pPr>
            <w:r>
              <w:rPr/>
              <w:t xml:space="preserve"> ※除上述规定外，对招标文件提出的质疑还应符合招标文件第三章第15.1条的有关规定。</w:t>
            </w:r>
          </w:p>
        </w:tc>
      </w:tr>
      <w:tr>
        <w:tc>
          <w:tcPr>
            <w:tcW w:type="dxa" w:w="2769"/>
          </w:tcPr>
          <w:p>
            <w:pPr>
              <w:pStyle w:val="null3"/>
            </w:pPr>
            <w:r>
              <w:rPr/>
              <w:t>10</w:t>
            </w:r>
          </w:p>
        </w:tc>
        <w:tc>
          <w:tcPr>
            <w:tcW w:type="dxa" w:w="2769"/>
          </w:tcPr>
          <w:p>
            <w:pPr>
              <w:pStyle w:val="null3"/>
            </w:pPr>
            <w:r>
              <w:rPr/>
              <w:t>16.1</w:t>
            </w:r>
          </w:p>
        </w:tc>
        <w:tc>
          <w:tcPr>
            <w:tcW w:type="dxa" w:w="2769"/>
          </w:tcPr>
          <w:p>
            <w:pPr>
              <w:pStyle w:val="null3"/>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财政部和福建省财政厅指定的政府采购信息发布媒体（以下简称：“指定媒体”）：</w:t>
            </w: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r>
              <w:rPr/>
              <w:t xml:space="preserve"> ※若出现上述指定媒体信息不一致情形，应以中国政府采购网福建分网（福建省政府采购网）发布的为准。</w:t>
            </w:r>
          </w:p>
        </w:tc>
      </w:tr>
      <w:tr>
        <w:tc>
          <w:tcPr>
            <w:tcW w:type="dxa" w:w="2769"/>
          </w:tcPr>
          <w:p>
            <w:pPr>
              <w:pStyle w:val="null3"/>
            </w:pPr>
            <w:r>
              <w:rPr/>
              <w:t>12</w:t>
            </w:r>
          </w:p>
        </w:tc>
        <w:tc>
          <w:tcPr>
            <w:tcW w:type="dxa" w:w="2769"/>
          </w:tcPr>
          <w:p>
            <w:pPr>
              <w:pStyle w:val="null3"/>
            </w:pPr>
            <w:r>
              <w:rPr/>
              <w:t>19</w:t>
            </w:r>
          </w:p>
        </w:tc>
        <w:tc>
          <w:tcPr>
            <w:tcW w:type="dxa" w:w="2769"/>
          </w:tcPr>
          <w:p>
            <w:pPr>
              <w:pStyle w:val="null3"/>
            </w:pPr>
            <w:r>
              <w:rPr/>
              <w:t>其他事项：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代理服务费用收取对象：采购人</w:t>
            </w:r>
          </w:p>
          <w:p>
            <w:pPr>
              <w:pStyle w:val="null3"/>
            </w:pPr>
            <w:r>
              <w:rPr/>
              <w:t>代理服务费收费标准：以中标金额为基数按差额累进法计算，服务招标：100万以下部分按1.5%计算，100万-500万部分的按0.8%计算。收取方式：转账。 代理服务费缴交帐号 开户名： 福建华闽招标有限公司 开户行： 兴业银行福州华林支行 帐 号： 117130100100040362。</w:t>
            </w:r>
          </w:p>
          <w:p>
            <w:pPr>
              <w:pStyle w:val="null3"/>
            </w:pPr>
            <w:r>
              <w:rPr/>
              <w:t xml:space="preserve"> (2)其他：</w:t>
            </w:r>
          </w:p>
          <w:p>
            <w:pPr>
              <w:pStyle w:val="null3"/>
            </w:pPr>
            <w:r>
              <w:rPr/>
              <w:t>在质疑期限内，供应商应向福建华闽招标有限公司提出。质疑函原件应采用下列方式提交：现场方式。联系部门：福建华闽招标有限公司，联系人：黄颖，联系方式：0591-87819582，联系地址：福州市华林路128号屏东写字楼19层。供应商递交质疑函时还应出具供应商已对本项目进行报名的证明文件（体现报名时间），否则将不被认定为潜在供应商，其质疑将不予受理。</w:t>
            </w:r>
          </w:p>
        </w:tc>
      </w:tr>
      <w:tr>
        <w:tc>
          <w:tcPr>
            <w:tcW w:type="dxa" w:w="5538"/>
            <w:gridSpan w:val="2"/>
          </w:tcPr>
          <w:p>
            <w:pPr>
              <w:pStyle w:val="null3"/>
            </w:pPr>
            <w:r>
              <w:rPr/>
              <w:t>备注</w:t>
            </w:r>
          </w:p>
        </w:tc>
        <w:tc>
          <w:tcPr>
            <w:tcW w:type="dxa" w:w="2769"/>
          </w:tcPr>
          <w:p>
            <w:pPr>
              <w:pStyle w:val="null3"/>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关于电子招标投标活动的专门规定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（1）电子招标投标活动的专门规定适用本项目电子招标投标活动。</w:t>
            </w:r>
          </w:p>
          <w:p>
            <w:pPr>
              <w:pStyle w:val="null3"/>
            </w:pPr>
            <w:r>
              <w:rPr/>
              <w:t>（2）将招标文件</w:t>
            </w:r>
          </w:p>
          <w:p>
            <w:pPr>
              <w:pStyle w:val="null3"/>
            </w:pPr>
            <w:r>
              <w:rPr/>
              <w:t>无</w:t>
            </w:r>
            <w:r>
              <w:rPr/>
              <w:t xml:space="preserve"> 的内容修正为下列内容：</w:t>
            </w:r>
          </w:p>
          <w:p>
            <w:pPr>
              <w:pStyle w:val="null3"/>
            </w:pPr>
            <w:r>
              <w:rPr/>
              <w:t>无</w:t>
            </w:r>
            <w:r>
              <w:rPr/>
              <w:t xml:space="preserve"> 后适用本项目的电子招标投标活动。</w:t>
            </w:r>
          </w:p>
          <w:p>
            <w:pPr>
              <w:pStyle w:val="null3"/>
            </w:pPr>
            <w:r>
              <w:rPr/>
              <w:t>（3）将下列内容增列为招标文件的组成部分（以下简称：“增列内容”）适用本项目的电子招标投标活动，若增列内容与招标文件其他章节内容有冲突，应以增列内容为准：</w:t>
            </w:r>
          </w:p>
          <w:p>
            <w:pPr>
              <w:pStyle w:val="null3"/>
            </w:pPr>
            <w:r>
              <w:rPr/>
              <w:t>①电子招标投标活动的具体操作流程以福建省政府采购网上公开信息系统设定的为准。</w:t>
            </w:r>
          </w:p>
          <w:p>
            <w:pPr>
              <w:pStyle w:val="null3"/>
            </w:pPr>
            <w:r>
              <w:rPr/>
              <w:t>②关于电子投标文件：</w:t>
            </w:r>
          </w:p>
          <w:p>
            <w:pPr>
              <w:pStyle w:val="null3"/>
            </w:pPr>
            <w:r>
              <w:rPr/>
              <w:t>a.投标人应按照福建省政府采购网上公开信息系统设定的评审节点编制电子投标文件，否则资格审查小组、评标委员会将按照不利于投标人的内容进行认定。</w:t>
            </w:r>
          </w:p>
          <w:p>
            <w:pPr>
              <w:pStyle w:val="null3"/>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t>③关于证明材料或资料：</w:t>
            </w:r>
          </w:p>
          <w:p>
            <w:pPr>
              <w:pStyle w:val="null3"/>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t>④关于“全称”、“投标人代表签字”及“加盖单位公章”：</w:t>
            </w:r>
          </w:p>
          <w:p>
            <w:pPr>
              <w:pStyle w:val="null3"/>
            </w:pPr>
            <w:r>
              <w:rPr/>
              <w:t>a.在电子投标文件中，涉及“全称”和“投标人代表签字”的内容可使用打字录入方式完成。</w:t>
            </w:r>
          </w:p>
          <w:p>
            <w:pPr>
              <w:pStyle w:val="null3"/>
            </w:pPr>
            <w:r>
              <w:rPr/>
              <w:t>b.在电子投标文件中，涉及“加盖单位公章”的内容应使用投标人的CA证书完成，否则投标无效。</w:t>
            </w:r>
          </w:p>
          <w:p>
            <w:pPr>
              <w:pStyle w:val="null3"/>
            </w:pPr>
            <w:r>
              <w:rPr/>
              <w:t>c.在电子投标文件中，若投标人按照本增列内容第④点第b项规定加盖其单位公章，则出现无全称、或投标人代表未签字等情形，不视为投标无效。</w:t>
            </w:r>
          </w:p>
          <w:p>
            <w:pPr>
              <w:pStyle w:val="null3"/>
            </w:pPr>
            <w:r>
              <w:rPr/>
              <w:t>⑤关于投标人的CA证书：</w:t>
            </w:r>
          </w:p>
          <w:p>
            <w:pPr>
              <w:pStyle w:val="null3"/>
            </w:pPr>
            <w:r>
              <w:rPr/>
              <w:t>a.投标人的CA证书应在系统规定时间内使用CA证书进行电子投标文件的解密操作，逾期未解密的视为放弃投标。</w:t>
            </w:r>
          </w:p>
          <w:p>
            <w:pPr>
              <w:pStyle w:val="null3"/>
            </w:pPr>
            <w:r>
              <w:rPr/>
              <w:t>b.投标人的CA证书可采用信封（包括但不限于：信封、档案袋、文件袋等）作为外包装进行单独包装。外包装密封、不密封皆可。</w:t>
            </w:r>
          </w:p>
          <w:p>
            <w:pPr>
              <w:pStyle w:val="null3"/>
            </w:pPr>
            <w:r>
              <w:rPr/>
              <w:t>c.投标人的CA证书或外包装应标记“项目名称、项目编号、投标人的全称”等内容，以方便识别、使用。</w:t>
            </w:r>
          </w:p>
          <w:p>
            <w:pPr>
              <w:pStyle w:val="null3"/>
            </w:pPr>
            <w:r>
              <w:rPr/>
              <w:t>d.投标人的CA证书应能正常、有效使用，否则产生不利后果由投标人承担责任。</w:t>
            </w:r>
          </w:p>
          <w:p>
            <w:pPr>
              <w:pStyle w:val="null3"/>
            </w:pPr>
            <w:r>
              <w:rPr/>
              <w:t>⑥关于投标截止时间过后</w:t>
            </w:r>
          </w:p>
          <w:p>
            <w:pPr>
              <w:pStyle w:val="null3"/>
            </w:pPr>
            <w:r>
              <w:rPr/>
              <w:t>a.未按招标文件规定提交投标保证金的，其投标将按无效投标处理。</w:t>
            </w:r>
          </w:p>
          <w:p>
            <w:pPr>
              <w:pStyle w:val="null3"/>
            </w:pPr>
            <w:r>
              <w:rPr/>
              <w:t>b.有下列情形之一的，其投标无效,其保证金不予退还或通过投标保函进行索赔：</w:t>
            </w:r>
          </w:p>
          <w:p>
            <w:pPr>
              <w:pStyle w:val="null3"/>
            </w:pPr>
            <w:r>
              <w:rPr/>
              <w:t>b1不同投标人的电子投标文件具有相同内部识别码；</w:t>
            </w:r>
          </w:p>
          <w:p>
            <w:pPr>
              <w:pStyle w:val="null3"/>
            </w:pPr>
            <w:r>
              <w:rPr/>
              <w:t>b2不同投标人的投标保证金从同一单位或个人的账户转出；</w:t>
            </w:r>
          </w:p>
          <w:p>
            <w:pPr>
              <w:pStyle w:val="null3"/>
            </w:pPr>
            <w:r>
              <w:rPr/>
              <w:t>b3投标人的投标保证金同一采购包下有其他投标人提交的投标保证金；</w:t>
            </w:r>
          </w:p>
          <w:p>
            <w:pPr>
              <w:pStyle w:val="null3"/>
            </w:pPr>
            <w:r>
              <w:rPr/>
              <w:t>b4不同投标人存在串通投标的其他情形。</w:t>
            </w:r>
          </w:p>
          <w:p>
            <w:pPr>
              <w:pStyle w:val="null3"/>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t>⑧其他：</w:t>
            </w:r>
          </w:p>
          <w:p>
            <w:pPr>
              <w:pStyle w:val="null3"/>
            </w:pPr>
            <w:r>
              <w:rPr/>
              <w:t>根据《福建省财政厅关于电子化政府采购项目中视为串标情形认定与处理的指导意见》的规定,电子化招标项目有下列情形之一的，视为串通投标，其投标无效，保证金不予退还： （一）保证金验核阶段 不同投标人的投标保证金转出账户的银行账户名称相同的， 属于《政府采购货物和服务招标投标管理办法》（财政部令第 87 号）第三十七条第（六）项“不同投标人的投标保证金从同一单位或者个人的账户转出”的情形。 （二）电子响应文件解密阶段 电子响应文件的个性特征与本采购项目的其他响应人存在雷同的，按照以下方式进行认定： 1.投标人上传电子投标文件被福建省政府采购网上公开信息系统投标客户端所赋予的项目内部识别码与本招标项目的其他投标人相同的，属于《政府采购货物和服务招标投标管理办法》 （财政部令第 87 号）第三十七条第（一）项“不同投标人的投标文件由同一单位或者个人编制”的情形。 2.系统记录的编制电子投标文件使用的计算机或上传电子投标文件使用的计算机网卡 MAC 地址与本招标项目的其他投标人一致的，属于《政府采购货物和服务招标投标管理办法》（财政部令第 87 号）第三十七条第（二）项“不同投标人委托同一单位或者个人办理投标事宜”的情形。 3.投标人上传的电子投标文件若出现使用本项目其他投标人的数字证书加密的或加盖本项目的其他投标人的电子印章的， 属于《政府采购货物和服务招标投标管理办法》（财政部令第 87 号）第三十七条第（五）项“不同投标人的投标文件相互混装” 的情形。</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福建华闽招标有限公司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福建华闽招标有限公司</w:t>
      </w:r>
      <w:r>
        <w:rPr/>
        <w:t xml:space="preserve"> 将在投标截止时间至少15个日历日前，在招标文件载明的指定媒体以更正公告的形式发布澄清或修改的内容。不足15个日历日的， </w:t>
      </w:r>
      <w:r>
        <w:rPr/>
        <w:t>福建华闽招标有限公司</w:t>
      </w:r>
      <w:r>
        <w:rPr/>
        <w:t xml:space="preserve"> 将顺延投标截止时间及开标时间， </w:t>
      </w:r>
      <w:r>
        <w:rPr/>
        <w:t>福建华闽招标有限公司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福建华闽招标有限公司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福建华闽招标有限公司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福建华闽招标有限公司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福建华闽招标有限公司</w:t>
      </w:r>
      <w:r>
        <w:rPr/>
        <w:t xml:space="preserve"> 可终止招标并发布终止公告。</w:t>
      </w:r>
    </w:p>
    <w:p>
      <w:pPr>
        <w:pStyle w:val="null3"/>
        <w:ind w:firstLine="480"/>
        <w:jc w:val="both"/>
      </w:pPr>
      <w:r>
        <w:rPr/>
        <w:t xml:space="preserve">8.2终止公告作为 </w:t>
      </w:r>
      <w:r>
        <w:rPr/>
        <w:t>福建华闽招标有限公司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福建华闽招标有限公司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福建华闽招标有限公司</w:t>
      </w:r>
      <w:r>
        <w:rPr/>
        <w:t xml:space="preserve"> 可于投标有效期届满之前书面要求投标人延长投标有效期，投标人应在 </w:t>
      </w:r>
      <w:r>
        <w:rPr/>
        <w:t>福建华闽招标有限公司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福建华闽招标有限公司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福建华闽招标有限公司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福建华闽招标有限公司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福建华闽招标有限公司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福建华闽招标有限公司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福建华闽招标有限公司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福建华闽招标有限公司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福建华闽招标有限公司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福建华闽招标有限公司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福建华闽招标有限公司</w:t>
      </w:r>
      <w:r>
        <w:rPr/>
        <w:t xml:space="preserve"> 提出询问， </w:t>
      </w:r>
      <w:r>
        <w:rPr/>
        <w:t>福建华闽招标有限公司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福建华闽招标有限公司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福建华闽招标有限公司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由福建华闽招标有限公司派出的工作人员至少1人，</w:t>
      </w:r>
      <w:r>
        <w:rPr/>
        <w:t>其余1人可为采购人代表或福建华闽招标有限公司的工作人员。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1、根据《财政部、工业和信息化部关于印发（政府采购促进中小企业发展管理办法）的通知》（财库〔2020〕46号）文件规定，本项目为专门面向中小企业开展政府采购活动，投标人必须为中小企业。投标时必须提供 《中小企业声明函》，格式见第七章《投标文件格式》（服务类）。2、投标人为监狱企业的视同小型和微型企业，可不提供以上第1点材料，但应当提供由省级以上监狱管理局、戒毒管理局(含新疆生产建设兵团)出具的属于监狱企业的证明文件。 3、投标人为残疾人福利性单位的视同小型和微型企业，可不提供以上第1点材料，但应当提供《残疾人福利性单位声明函》，格式见第七章《投标文件格式》。4.本项目为服务类采购项目，采购标的对应的中小企业划分标准所属行业为“餐饮业”。</w:t>
            </w:r>
          </w:p>
        </w:tc>
      </w:tr>
      <w:tr>
        <w:tc>
          <w:tcPr>
            <w:tcW w:type="dxa" w:w="3692"/>
          </w:tcPr>
          <w:p>
            <w:pPr>
              <w:pStyle w:val="null3"/>
              <w:jc w:val="left"/>
            </w:pPr>
            <w:r>
              <w:rPr/>
              <w:t>招标文件规定的其他资格证明文件</w:t>
            </w:r>
          </w:p>
        </w:tc>
        <w:tc>
          <w:tcPr>
            <w:tcW w:type="dxa" w:w="4614"/>
          </w:tcPr>
          <w:p>
            <w:pPr>
              <w:pStyle w:val="null3"/>
              <w:jc w:val="left"/>
            </w:pPr>
            <w:r>
              <w:rPr/>
              <w:t>投标人应具备集体用餐配送的食品经营许可证，须提供有效期内的证书复印件。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t xml:space="preserve"> 明细</w:t>
            </w:r>
          </w:p>
        </w:tc>
      </w:tr>
      <w:tr>
        <w:tc>
          <w:tcPr>
            <w:tcW w:type="dxa" w:w="8306"/>
          </w:tcPr>
          <w:p>
            <w:pPr>
              <w:pStyle w:val="null3"/>
            </w:pPr>
            <w:r>
              <w:rPr/>
              <w:t>未按照招标文件规定提交投标函</w:t>
            </w:r>
          </w:p>
        </w:tc>
      </w:tr>
      <w:tr>
        <w:tc>
          <w:tcPr>
            <w:tcW w:type="dxa" w:w="8306"/>
          </w:tcPr>
          <w:p>
            <w:pPr>
              <w:pStyle w:val="null3"/>
            </w:pPr>
            <w:r>
              <w:rPr/>
              <w:t>未按照招标文件规定提交投标人的资格及资信文件</w:t>
            </w:r>
          </w:p>
        </w:tc>
      </w:tr>
      <w:tr>
        <w:tc>
          <w:tcPr>
            <w:tcW w:type="dxa" w:w="8306"/>
          </w:tcPr>
          <w:p>
            <w:pPr>
              <w:pStyle w:val="null3"/>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福建华闽招标有限公司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福建华闽招标有限公司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福建华闽招标有限公司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福建华闽招标有限公司</w:t>
      </w:r>
      <w:r>
        <w:rPr/>
        <w:t xml:space="preserve"> 统一对外发布。</w:t>
      </w:r>
    </w:p>
    <w:p>
      <w:pPr>
        <w:pStyle w:val="null3"/>
        <w:ind w:firstLine="480"/>
        <w:jc w:val="both"/>
      </w:pPr>
      <w:r>
        <w:rPr/>
        <w:t xml:space="preserve">②对 </w:t>
      </w:r>
      <w:r>
        <w:rPr/>
        <w:t>福建华闽招标有限公司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（1）投标人技术部分的实际得分少于招标文件设定的技术部分总分50%的。 （2）技术商务部分中不得出现报价部分的全部或部分的投标报价信息（或组成资料），否则符合性审查不合格。 （3）不满足招标文件第五章“技术和服务要求”中带★号的条款。 （4）投标文件中提供虚假或失实资料的。 （5）不符合招标文件中规定的其它实质性要求条款的。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（1）交付地点、交付时间、交付条件、验收方式、支付方式不满足招标文件要求的。 （2）技术商务部分中不得出现报价部分的全部或部分的投标报价信息（或组成资料），否则符合性审查不合格。 （3）不满足招标文件第五章“商务条件”中带★号的条款。 （4）投标文件中提供虚假或失实资料的。 （5）不符合招标文件中规定的其它实质性要求条款的。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超过预算金额。</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福建华闽招标有限公司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1.技术参数响应</w:t>
            </w:r>
          </w:p>
        </w:tc>
        <w:tc>
          <w:tcPr>
            <w:tcW w:type="dxa" w:w="831"/>
          </w:tcPr>
          <w:p>
            <w:pPr>
              <w:pStyle w:val="null3"/>
              <w:jc w:val="right"/>
            </w:pPr>
            <w:r>
              <w:rPr/>
              <w:t>8.00</w:t>
            </w:r>
          </w:p>
        </w:tc>
        <w:tc>
          <w:tcPr>
            <w:tcW w:type="dxa" w:w="4153"/>
          </w:tcPr>
          <w:p>
            <w:pPr>
              <w:pStyle w:val="null3"/>
              <w:jc w:val="both"/>
            </w:pPr>
            <w:r>
              <w:rPr/>
              <w:t>根据投标人对招标文件“第五章 招标内容及要求”第二点“技术和服务要求”响应情况进行评审，全部满足招标文件要求的得8分，其中，以“★”标示的内容为不允许负偏离的实质性要求，若负偏离则投标无效（共计3项）；其余技术和服务要求（共计8项），每负偏离一项扣 1分，正偏离不加分。</w:t>
            </w:r>
          </w:p>
        </w:tc>
      </w:tr>
      <w:tr>
        <w:tc>
          <w:tcPr>
            <w:tcW w:type="dxa" w:w="3322"/>
          </w:tcPr>
          <w:p>
            <w:pPr>
              <w:pStyle w:val="null3"/>
              <w:jc w:val="both"/>
            </w:pPr>
            <w:r>
              <w:rPr/>
              <w:t>2、中央厨房1</w:t>
            </w:r>
          </w:p>
        </w:tc>
        <w:tc>
          <w:tcPr>
            <w:tcW w:type="dxa" w:w="831"/>
          </w:tcPr>
          <w:p>
            <w:pPr>
              <w:pStyle w:val="null3"/>
              <w:jc w:val="right"/>
            </w:pPr>
            <w:r>
              <w:rPr/>
              <w:t>2.00</w:t>
            </w:r>
          </w:p>
        </w:tc>
        <w:tc>
          <w:tcPr>
            <w:tcW w:type="dxa" w:w="4153"/>
          </w:tcPr>
          <w:p>
            <w:pPr>
              <w:pStyle w:val="null3"/>
              <w:jc w:val="both"/>
            </w:pPr>
            <w:r>
              <w:rPr/>
              <w:t>根据投标人拟为本项目配备的中央厨房需提供中央厨房现场实拍照片及相关设备明细（自有产权的提供产权证复印件；中央厨房为投标人租赁的，须提供在合同履行期间内的租赁合同复印件和产权证复印件。），材料提供完整的得2分，提供不完整或未提供的不得分。</w:t>
            </w:r>
          </w:p>
        </w:tc>
      </w:tr>
      <w:tr>
        <w:tc>
          <w:tcPr>
            <w:tcW w:type="dxa" w:w="3322"/>
          </w:tcPr>
          <w:p>
            <w:pPr>
              <w:pStyle w:val="null3"/>
              <w:jc w:val="both"/>
            </w:pPr>
            <w:r>
              <w:rPr/>
              <w:t>3、中央厨房2</w:t>
            </w:r>
          </w:p>
        </w:tc>
        <w:tc>
          <w:tcPr>
            <w:tcW w:type="dxa" w:w="831"/>
          </w:tcPr>
          <w:p>
            <w:pPr>
              <w:pStyle w:val="null3"/>
              <w:jc w:val="right"/>
            </w:pPr>
            <w:r>
              <w:rPr/>
              <w:t>3.00</w:t>
            </w:r>
          </w:p>
        </w:tc>
        <w:tc>
          <w:tcPr>
            <w:tcW w:type="dxa" w:w="4153"/>
          </w:tcPr>
          <w:p>
            <w:pPr>
              <w:pStyle w:val="null3"/>
              <w:jc w:val="both"/>
            </w:pPr>
            <w:r>
              <w:rPr/>
              <w:t>为了保证餐食的新鲜度和保温性，在接到采购人通知后，投标人送餐时间≤30分钟的得3分；30分钟＜送餐时间≦45分钟的的2分；45分钟＜送餐时间≦60分钟的得1分，送餐时间＞60分钟的不得分。投标人须提供中央厨房至福州东站军供保障点（福建省福州市晋安区鹤林路 ）的百度或高德地图导航（驾车模式）截图，截图中应明确表示导航起止具体地址和所需时间，及出具承诺书，承诺按照采购人的需求完成福州区域范围内的送餐服务（承诺函格式自拟），否则不得分。</w:t>
            </w:r>
          </w:p>
        </w:tc>
      </w:tr>
      <w:tr>
        <w:tc>
          <w:tcPr>
            <w:tcW w:type="dxa" w:w="3322"/>
          </w:tcPr>
          <w:p>
            <w:pPr>
              <w:pStyle w:val="null3"/>
              <w:jc w:val="both"/>
            </w:pPr>
            <w:r>
              <w:rPr/>
              <w:t>4、内部管理制度等情况</w:t>
            </w:r>
          </w:p>
        </w:tc>
        <w:tc>
          <w:tcPr>
            <w:tcW w:type="dxa" w:w="831"/>
          </w:tcPr>
          <w:p>
            <w:pPr>
              <w:pStyle w:val="null3"/>
              <w:jc w:val="right"/>
            </w:pPr>
            <w:r>
              <w:rPr/>
              <w:t>2.00</w:t>
            </w:r>
          </w:p>
        </w:tc>
        <w:tc>
          <w:tcPr>
            <w:tcW w:type="dxa" w:w="4153"/>
          </w:tcPr>
          <w:p>
            <w:pPr>
              <w:pStyle w:val="null3"/>
              <w:jc w:val="both"/>
            </w:pPr>
            <w:r>
              <w:rPr/>
              <w:t>根据各投标人为本项目制定的组织架构及工作职能组织运行图、岗位设置、各岗位人数和岗位职责完整、合理、可行情况，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5、卫生管理制度情况1</w:t>
            </w:r>
          </w:p>
        </w:tc>
        <w:tc>
          <w:tcPr>
            <w:tcW w:type="dxa" w:w="831"/>
          </w:tcPr>
          <w:p>
            <w:pPr>
              <w:pStyle w:val="null3"/>
              <w:jc w:val="right"/>
            </w:pPr>
            <w:r>
              <w:rPr/>
              <w:t>2.00</w:t>
            </w:r>
          </w:p>
        </w:tc>
        <w:tc>
          <w:tcPr>
            <w:tcW w:type="dxa" w:w="4153"/>
          </w:tcPr>
          <w:p>
            <w:pPr>
              <w:pStyle w:val="null3"/>
              <w:jc w:val="both"/>
            </w:pPr>
            <w:r>
              <w:rPr/>
              <w:t>根据投标人提供的餐具及厨具的卫生管理方案（含提供快餐盒的使用、餐具清洗、餐具消毒措施、烟台、灶台、排污管道清理等），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6、卫生管理制度情况2</w:t>
            </w:r>
          </w:p>
        </w:tc>
        <w:tc>
          <w:tcPr>
            <w:tcW w:type="dxa" w:w="831"/>
          </w:tcPr>
          <w:p>
            <w:pPr>
              <w:pStyle w:val="null3"/>
              <w:jc w:val="right"/>
            </w:pPr>
            <w:r>
              <w:rPr/>
              <w:t>2.00</w:t>
            </w:r>
          </w:p>
        </w:tc>
        <w:tc>
          <w:tcPr>
            <w:tcW w:type="dxa" w:w="4153"/>
          </w:tcPr>
          <w:p>
            <w:pPr>
              <w:pStyle w:val="null3"/>
              <w:jc w:val="both"/>
            </w:pPr>
            <w:r>
              <w:rPr/>
              <w:t>根据投标人提供的场地及厨房垃圾卫生的管理方案，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7、卫生管理制度情况3</w:t>
            </w:r>
          </w:p>
        </w:tc>
        <w:tc>
          <w:tcPr>
            <w:tcW w:type="dxa" w:w="831"/>
          </w:tcPr>
          <w:p>
            <w:pPr>
              <w:pStyle w:val="null3"/>
              <w:jc w:val="right"/>
            </w:pPr>
            <w:r>
              <w:rPr/>
              <w:t>2.00</w:t>
            </w:r>
          </w:p>
        </w:tc>
        <w:tc>
          <w:tcPr>
            <w:tcW w:type="dxa" w:w="4153"/>
          </w:tcPr>
          <w:p>
            <w:pPr>
              <w:pStyle w:val="null3"/>
              <w:jc w:val="both"/>
            </w:pPr>
            <w:r>
              <w:rPr/>
              <w:t>根据投标人制定的食品卫生及安全管理方案（包括食品来源、品质、食品安全的保障措施等方面），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8、应急预案</w:t>
            </w:r>
          </w:p>
        </w:tc>
        <w:tc>
          <w:tcPr>
            <w:tcW w:type="dxa" w:w="831"/>
          </w:tcPr>
          <w:p>
            <w:pPr>
              <w:pStyle w:val="null3"/>
              <w:jc w:val="right"/>
            </w:pPr>
            <w:r>
              <w:rPr/>
              <w:t>2.00</w:t>
            </w:r>
          </w:p>
        </w:tc>
        <w:tc>
          <w:tcPr>
            <w:tcW w:type="dxa" w:w="4153"/>
          </w:tcPr>
          <w:p>
            <w:pPr>
              <w:pStyle w:val="null3"/>
              <w:jc w:val="both"/>
            </w:pPr>
            <w:r>
              <w:rPr/>
              <w:t>根据各投标人对本项目制定切实可行的食品安全突发事故应急预案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9、应急预备方案</w:t>
            </w:r>
          </w:p>
        </w:tc>
        <w:tc>
          <w:tcPr>
            <w:tcW w:type="dxa" w:w="831"/>
          </w:tcPr>
          <w:p>
            <w:pPr>
              <w:pStyle w:val="null3"/>
              <w:jc w:val="right"/>
            </w:pPr>
            <w:r>
              <w:rPr/>
              <w:t>2.00</w:t>
            </w:r>
          </w:p>
        </w:tc>
        <w:tc>
          <w:tcPr>
            <w:tcW w:type="dxa" w:w="4153"/>
          </w:tcPr>
          <w:p>
            <w:pPr>
              <w:pStyle w:val="null3"/>
              <w:jc w:val="both"/>
            </w:pPr>
            <w:r>
              <w:rPr/>
              <w:t>根据投标人针对本项目提供的应急预备(包括停水、停电、消防安全等突发事件情况如何应急供餐)方案情况，由评委进行评分：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10、食品采购1</w:t>
            </w:r>
          </w:p>
        </w:tc>
        <w:tc>
          <w:tcPr>
            <w:tcW w:type="dxa" w:w="831"/>
          </w:tcPr>
          <w:p>
            <w:pPr>
              <w:pStyle w:val="null3"/>
              <w:jc w:val="right"/>
            </w:pPr>
            <w:r>
              <w:rPr/>
              <w:t>3.00</w:t>
            </w:r>
          </w:p>
        </w:tc>
        <w:tc>
          <w:tcPr>
            <w:tcW w:type="dxa" w:w="4153"/>
          </w:tcPr>
          <w:p>
            <w:pPr>
              <w:pStyle w:val="null3"/>
              <w:jc w:val="both"/>
            </w:pPr>
            <w:r>
              <w:rPr/>
              <w:t>投标人承诺在服务期内提供的原材料须在市场监督管理部门规定的“一品一码”系统录入的得3分，承诺函格式自拟。</w:t>
            </w:r>
          </w:p>
        </w:tc>
      </w:tr>
      <w:tr>
        <w:tc>
          <w:tcPr>
            <w:tcW w:type="dxa" w:w="3322"/>
          </w:tcPr>
          <w:p>
            <w:pPr>
              <w:pStyle w:val="null3"/>
              <w:jc w:val="both"/>
            </w:pPr>
            <w:r>
              <w:rPr/>
              <w:t>11、食品采购2</w:t>
            </w:r>
          </w:p>
        </w:tc>
        <w:tc>
          <w:tcPr>
            <w:tcW w:type="dxa" w:w="831"/>
          </w:tcPr>
          <w:p>
            <w:pPr>
              <w:pStyle w:val="null3"/>
              <w:jc w:val="right"/>
            </w:pPr>
            <w:r>
              <w:rPr/>
              <w:t>3.00</w:t>
            </w:r>
          </w:p>
        </w:tc>
        <w:tc>
          <w:tcPr>
            <w:tcW w:type="dxa" w:w="4153"/>
          </w:tcPr>
          <w:p>
            <w:pPr>
              <w:pStyle w:val="null3"/>
              <w:jc w:val="both"/>
            </w:pPr>
            <w:r>
              <w:rPr/>
              <w:t>根据各投标人提供六类定点食材供应商（包含粮油、水产品、禽肉类、冻品、调味品、蔬菜）的证明材料：（1）与定点供应商签订的采购合同复印件；（2）定点供应商的有效营业执照和食品经营许可证复印件。以上6套证明材料必须齐全的得3分，缺任一项均不得分。</w:t>
            </w:r>
          </w:p>
        </w:tc>
      </w:tr>
      <w:tr>
        <w:tc>
          <w:tcPr>
            <w:tcW w:type="dxa" w:w="3322"/>
          </w:tcPr>
          <w:p>
            <w:pPr>
              <w:pStyle w:val="null3"/>
              <w:jc w:val="both"/>
            </w:pPr>
            <w:r>
              <w:rPr/>
              <w:t>12、采购渠道来源情况1</w:t>
            </w:r>
          </w:p>
        </w:tc>
        <w:tc>
          <w:tcPr>
            <w:tcW w:type="dxa" w:w="831"/>
          </w:tcPr>
          <w:p>
            <w:pPr>
              <w:pStyle w:val="null3"/>
              <w:jc w:val="right"/>
            </w:pPr>
            <w:r>
              <w:rPr/>
              <w:t>2.00</w:t>
            </w:r>
          </w:p>
        </w:tc>
        <w:tc>
          <w:tcPr>
            <w:tcW w:type="dxa" w:w="4153"/>
          </w:tcPr>
          <w:p>
            <w:pPr>
              <w:pStyle w:val="null3"/>
              <w:jc w:val="both"/>
            </w:pPr>
            <w:r>
              <w:rPr/>
              <w:t>投标人严禁采购“三无”产品，严禁过期变质食品进入厨房，制作的食品必须每次留样24小时，并做好留样记录,投标人对以上内容作出专项承诺（格式自拟）的得2分，未作出承诺的不得分。</w:t>
            </w:r>
          </w:p>
        </w:tc>
      </w:tr>
      <w:tr>
        <w:tc>
          <w:tcPr>
            <w:tcW w:type="dxa" w:w="3322"/>
          </w:tcPr>
          <w:p>
            <w:pPr>
              <w:pStyle w:val="null3"/>
              <w:jc w:val="both"/>
            </w:pPr>
            <w:r>
              <w:rPr/>
              <w:t>13、采购渠道来源情况2</w:t>
            </w:r>
          </w:p>
        </w:tc>
        <w:tc>
          <w:tcPr>
            <w:tcW w:type="dxa" w:w="831"/>
          </w:tcPr>
          <w:p>
            <w:pPr>
              <w:pStyle w:val="null3"/>
              <w:jc w:val="right"/>
            </w:pPr>
            <w:r>
              <w:rPr/>
              <w:t>3.00</w:t>
            </w:r>
          </w:p>
        </w:tc>
        <w:tc>
          <w:tcPr>
            <w:tcW w:type="dxa" w:w="4153"/>
          </w:tcPr>
          <w:p>
            <w:pPr>
              <w:pStyle w:val="null3"/>
              <w:jc w:val="both"/>
            </w:pPr>
            <w:r>
              <w:rPr/>
              <w:t>根据投标人制定的采购验收制度方案情况，由评委进行评分：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t>14、食品安全保障措施1</w:t>
            </w:r>
          </w:p>
        </w:tc>
        <w:tc>
          <w:tcPr>
            <w:tcW w:type="dxa" w:w="831"/>
          </w:tcPr>
          <w:p>
            <w:pPr>
              <w:pStyle w:val="null3"/>
              <w:jc w:val="right"/>
            </w:pPr>
            <w:r>
              <w:rPr/>
              <w:t>3.00</w:t>
            </w:r>
          </w:p>
        </w:tc>
        <w:tc>
          <w:tcPr>
            <w:tcW w:type="dxa" w:w="4153"/>
          </w:tcPr>
          <w:p>
            <w:pPr>
              <w:pStyle w:val="null3"/>
              <w:jc w:val="both"/>
            </w:pPr>
            <w:r>
              <w:rPr/>
              <w:t>根据各投标人提供保证食品安全采取的保障措施（包含食品采购制度、原辅料来源和验收流程及标准），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t>15、食品安全保障措施2</w:t>
            </w:r>
          </w:p>
        </w:tc>
        <w:tc>
          <w:tcPr>
            <w:tcW w:type="dxa" w:w="831"/>
          </w:tcPr>
          <w:p>
            <w:pPr>
              <w:pStyle w:val="null3"/>
              <w:jc w:val="right"/>
            </w:pPr>
            <w:r>
              <w:rPr/>
              <w:t>2.00</w:t>
            </w:r>
          </w:p>
        </w:tc>
        <w:tc>
          <w:tcPr>
            <w:tcW w:type="dxa" w:w="4153"/>
          </w:tcPr>
          <w:p>
            <w:pPr>
              <w:pStyle w:val="null3"/>
              <w:jc w:val="both"/>
            </w:pPr>
            <w:r>
              <w:rPr/>
              <w:t>根据各投标人提供保证食品安全采取的保障措施（生产过程控制，出品标准及检验制度，留样管理制度等），由评委进行评议：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r>
        <w:tc>
          <w:tcPr>
            <w:tcW w:type="dxa" w:w="3322"/>
          </w:tcPr>
          <w:p>
            <w:pPr>
              <w:pStyle w:val="null3"/>
              <w:jc w:val="both"/>
            </w:pPr>
            <w:r>
              <w:rPr/>
              <w:t>16、食品保温措施</w:t>
            </w:r>
          </w:p>
        </w:tc>
        <w:tc>
          <w:tcPr>
            <w:tcW w:type="dxa" w:w="831"/>
          </w:tcPr>
          <w:p>
            <w:pPr>
              <w:pStyle w:val="null3"/>
              <w:jc w:val="right"/>
            </w:pPr>
            <w:r>
              <w:rPr/>
              <w:t>3.00</w:t>
            </w:r>
          </w:p>
        </w:tc>
        <w:tc>
          <w:tcPr>
            <w:tcW w:type="dxa" w:w="4153"/>
          </w:tcPr>
          <w:p>
            <w:pPr>
              <w:pStyle w:val="null3"/>
              <w:jc w:val="both"/>
            </w:pPr>
            <w:r>
              <w:rPr/>
              <w:t>根据各投标人提供的对饭菜的保温措施情况进行评分，措施完备合理，可行性高的得3分，措施较完备合理，可行性较高的得2分，措施方案一般，可行性一般的得1分，未提供的不得分。</w:t>
            </w:r>
          </w:p>
        </w:tc>
      </w:tr>
      <w:tr>
        <w:tc>
          <w:tcPr>
            <w:tcW w:type="dxa" w:w="3322"/>
          </w:tcPr>
          <w:p>
            <w:pPr>
              <w:pStyle w:val="null3"/>
              <w:jc w:val="both"/>
            </w:pPr>
            <w:r>
              <w:rPr/>
              <w:t>17、食品配送方案</w:t>
            </w:r>
          </w:p>
        </w:tc>
        <w:tc>
          <w:tcPr>
            <w:tcW w:type="dxa" w:w="831"/>
          </w:tcPr>
          <w:p>
            <w:pPr>
              <w:pStyle w:val="null3"/>
              <w:jc w:val="right"/>
            </w:pPr>
            <w:r>
              <w:rPr/>
              <w:t>3.00</w:t>
            </w:r>
          </w:p>
        </w:tc>
        <w:tc>
          <w:tcPr>
            <w:tcW w:type="dxa" w:w="4153"/>
          </w:tcPr>
          <w:p>
            <w:pPr>
              <w:pStyle w:val="null3"/>
              <w:jc w:val="both"/>
            </w:pPr>
            <w:r>
              <w:rPr/>
              <w:t>根据各投标人制定的配送方案（包含食品容器、食品运输车辆配送、服务人员、送餐时间要求等），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t>18、监控设备情况</w:t>
            </w:r>
          </w:p>
        </w:tc>
        <w:tc>
          <w:tcPr>
            <w:tcW w:type="dxa" w:w="831"/>
          </w:tcPr>
          <w:p>
            <w:pPr>
              <w:pStyle w:val="null3"/>
              <w:jc w:val="right"/>
            </w:pPr>
            <w:r>
              <w:rPr/>
              <w:t>3.00</w:t>
            </w:r>
          </w:p>
        </w:tc>
        <w:tc>
          <w:tcPr>
            <w:tcW w:type="dxa" w:w="4153"/>
          </w:tcPr>
          <w:p>
            <w:pPr>
              <w:pStyle w:val="null3"/>
              <w:jc w:val="both"/>
            </w:pPr>
            <w:r>
              <w:rPr/>
              <w:t>根据各投标人提供监控系统的建设情况，监控需覆盖中央厨房经营场所内外环境，视频影像存储时间必须达到30天（含以上）,能保证采购人或相关监督部门随时查询监督的得3分,并对此做出专项承诺。未提供承诺的不得分。</w:t>
            </w:r>
          </w:p>
        </w:tc>
      </w:tr>
      <w:tr>
        <w:tc>
          <w:tcPr>
            <w:tcW w:type="dxa" w:w="3322"/>
          </w:tcPr>
          <w:p>
            <w:pPr>
              <w:pStyle w:val="null3"/>
              <w:jc w:val="both"/>
            </w:pPr>
            <w:r>
              <w:rPr/>
              <w:t>19、食品安全检测设备</w:t>
            </w:r>
          </w:p>
        </w:tc>
        <w:tc>
          <w:tcPr>
            <w:tcW w:type="dxa" w:w="831"/>
          </w:tcPr>
          <w:p>
            <w:pPr>
              <w:pStyle w:val="null3"/>
              <w:jc w:val="right"/>
            </w:pPr>
            <w:r>
              <w:rPr/>
              <w:t>2.00</w:t>
            </w:r>
          </w:p>
        </w:tc>
        <w:tc>
          <w:tcPr>
            <w:tcW w:type="dxa" w:w="4153"/>
          </w:tcPr>
          <w:p>
            <w:pPr>
              <w:pStyle w:val="null3"/>
              <w:jc w:val="both"/>
            </w:pPr>
            <w:r>
              <w:rPr/>
              <w:t>根据投标人配备的食品安全检测设备情况进行评议，同时具有农药残检测仪、粮食安全速测仪、食品重金属检测仪、ATP-荧光检测仪的得1分，在此基础上还具备水产品综合检测仪、食用油检测仪的，每提供一种加0.5分，满分2分。注：自有设备须提供购置合同、购置发票及设备图片；租赁的须提供租赁合同，租赁付款发票及设备图片。以上材料未提供或提供不齐全的不得分。</w:t>
            </w:r>
          </w:p>
        </w:tc>
      </w:tr>
      <w:tr>
        <w:tc>
          <w:tcPr>
            <w:tcW w:type="dxa" w:w="3322"/>
          </w:tcPr>
          <w:p>
            <w:pPr>
              <w:pStyle w:val="null3"/>
              <w:jc w:val="both"/>
            </w:pPr>
            <w:r>
              <w:rPr/>
              <w:t>20、食品配送车辆</w:t>
            </w:r>
          </w:p>
        </w:tc>
        <w:tc>
          <w:tcPr>
            <w:tcW w:type="dxa" w:w="831"/>
          </w:tcPr>
          <w:p>
            <w:pPr>
              <w:pStyle w:val="null3"/>
              <w:jc w:val="right"/>
            </w:pPr>
            <w:r>
              <w:rPr/>
              <w:t>1.00</w:t>
            </w:r>
          </w:p>
        </w:tc>
        <w:tc>
          <w:tcPr>
            <w:tcW w:type="dxa" w:w="4153"/>
          </w:tcPr>
          <w:p>
            <w:pPr>
              <w:pStyle w:val="null3"/>
              <w:jc w:val="both"/>
            </w:pPr>
            <w:r>
              <w:rPr/>
              <w:t>投标人为本项目配备专属食品配送保温车辆的得1分。 注：自有产权须提供车辆购置发票、行驶证、机动车登记证书复印件、车辆照片；租赁车辆须提供车辆租赁合同复印件、提供车辆购置发票、行驶证、机动车登记证书、车辆照片复印件。未提供或提供不全的不得分。</w:t>
            </w:r>
          </w:p>
        </w:tc>
      </w:tr>
      <w:tr>
        <w:tc>
          <w:tcPr>
            <w:tcW w:type="dxa" w:w="3322"/>
          </w:tcPr>
          <w:p>
            <w:pPr>
              <w:pStyle w:val="null3"/>
              <w:jc w:val="both"/>
            </w:pPr>
            <w:r>
              <w:rPr/>
              <w:t>21、疫情防控预案</w:t>
            </w:r>
          </w:p>
        </w:tc>
        <w:tc>
          <w:tcPr>
            <w:tcW w:type="dxa" w:w="831"/>
          </w:tcPr>
          <w:p>
            <w:pPr>
              <w:pStyle w:val="null3"/>
              <w:jc w:val="right"/>
            </w:pPr>
            <w:r>
              <w:rPr/>
              <w:t>2.00</w:t>
            </w:r>
          </w:p>
        </w:tc>
        <w:tc>
          <w:tcPr>
            <w:tcW w:type="dxa" w:w="4153"/>
          </w:tcPr>
          <w:p>
            <w:pPr>
              <w:pStyle w:val="null3"/>
              <w:jc w:val="both"/>
            </w:pPr>
            <w:r>
              <w:rPr/>
              <w:t>根据投标人对疫情防控方案进行评分，方案合理全面，可行性高的得2分；方案较为合理，可行性较高的得1分；方案基本满足要求的得0.5分；差的或者未提供的不得分。</w:t>
            </w:r>
          </w:p>
        </w:tc>
      </w:tr>
      <w:tr>
        <w:tc>
          <w:tcPr>
            <w:tcW w:type="dxa" w:w="3322"/>
          </w:tcPr>
          <w:p>
            <w:pPr>
              <w:pStyle w:val="null3"/>
              <w:jc w:val="both"/>
            </w:pPr>
            <w:r>
              <w:rPr/>
              <w:t>22、食品安全责任险情况</w:t>
            </w:r>
          </w:p>
        </w:tc>
        <w:tc>
          <w:tcPr>
            <w:tcW w:type="dxa" w:w="831"/>
          </w:tcPr>
          <w:p>
            <w:pPr>
              <w:pStyle w:val="null3"/>
              <w:jc w:val="right"/>
            </w:pPr>
            <w:r>
              <w:rPr/>
              <w:t>2.00</w:t>
            </w:r>
          </w:p>
        </w:tc>
        <w:tc>
          <w:tcPr>
            <w:tcW w:type="dxa" w:w="4153"/>
          </w:tcPr>
          <w:p>
            <w:pPr>
              <w:pStyle w:val="null3"/>
              <w:jc w:val="both"/>
            </w:pPr>
            <w:r>
              <w:rPr/>
              <w:t>根据投标人所购买的“食品安全责任险”进行评分：保额&gt;2000万元的得2分，1500万元≤保额≤2000万元的得1.5分，1000万元≤保额&lt;1500万元的得1分。（需提供保单复印件并加盖投标人公章，未同时提供的不得分）</w:t>
            </w:r>
          </w:p>
        </w:tc>
      </w:tr>
      <w:tr>
        <w:tc>
          <w:tcPr>
            <w:tcW w:type="dxa" w:w="3322"/>
          </w:tcPr>
          <w:p>
            <w:pPr>
              <w:pStyle w:val="null3"/>
              <w:jc w:val="both"/>
            </w:pPr>
            <w:r>
              <w:rPr/>
              <w:t>23、提供一次性餐具的规范性标识</w:t>
            </w:r>
          </w:p>
        </w:tc>
        <w:tc>
          <w:tcPr>
            <w:tcW w:type="dxa" w:w="831"/>
          </w:tcPr>
          <w:p>
            <w:pPr>
              <w:pStyle w:val="null3"/>
              <w:jc w:val="right"/>
            </w:pPr>
            <w:r>
              <w:rPr/>
              <w:t>2.00</w:t>
            </w:r>
          </w:p>
        </w:tc>
        <w:tc>
          <w:tcPr>
            <w:tcW w:type="dxa" w:w="4153"/>
          </w:tcPr>
          <w:p>
            <w:pPr>
              <w:pStyle w:val="null3"/>
              <w:jc w:val="both"/>
            </w:pPr>
            <w:r>
              <w:rPr/>
              <w:t>投标人承诺提供具有安全规范性标识的一次性餐具并对此做出专项承诺（格式自拟）的得2分；未提供不得分。</w:t>
            </w:r>
          </w:p>
        </w:tc>
      </w:tr>
      <w:tr>
        <w:tc>
          <w:tcPr>
            <w:tcW w:type="dxa" w:w="3322"/>
          </w:tcPr>
          <w:p>
            <w:pPr>
              <w:pStyle w:val="null3"/>
              <w:jc w:val="both"/>
            </w:pPr>
            <w:r>
              <w:rPr/>
              <w:t>24、原材料采购渠道、品质保证等情况</w:t>
            </w:r>
          </w:p>
        </w:tc>
        <w:tc>
          <w:tcPr>
            <w:tcW w:type="dxa" w:w="831"/>
          </w:tcPr>
          <w:p>
            <w:pPr>
              <w:pStyle w:val="null3"/>
              <w:jc w:val="right"/>
            </w:pPr>
            <w:r>
              <w:rPr/>
              <w:t>3.00</w:t>
            </w:r>
          </w:p>
        </w:tc>
        <w:tc>
          <w:tcPr>
            <w:tcW w:type="dxa" w:w="4153"/>
          </w:tcPr>
          <w:p>
            <w:pPr>
              <w:pStyle w:val="null3"/>
              <w:jc w:val="both"/>
            </w:pPr>
            <w:r>
              <w:rPr/>
              <w:t>投标人承诺在服务期内提供肉类、蔬菜类、调味品、干货、禽蛋类、水产品类等合格的食品检测报告的得3分，须提供承诺函，承诺函格式自拟，未提供的不得分。</w:t>
            </w:r>
          </w:p>
        </w:tc>
      </w:tr>
      <w:tr>
        <w:tc>
          <w:tcPr>
            <w:tcW w:type="dxa" w:w="3322"/>
          </w:tcPr>
          <w:p>
            <w:pPr>
              <w:pStyle w:val="null3"/>
              <w:jc w:val="both"/>
            </w:pPr>
            <w:r>
              <w:rPr/>
              <w:t>25、经营服务1</w:t>
            </w:r>
          </w:p>
        </w:tc>
        <w:tc>
          <w:tcPr>
            <w:tcW w:type="dxa" w:w="831"/>
          </w:tcPr>
          <w:p>
            <w:pPr>
              <w:pStyle w:val="null3"/>
              <w:jc w:val="right"/>
            </w:pPr>
            <w:r>
              <w:rPr/>
              <w:t>3.00</w:t>
            </w:r>
          </w:p>
        </w:tc>
        <w:tc>
          <w:tcPr>
            <w:tcW w:type="dxa" w:w="4153"/>
          </w:tcPr>
          <w:p>
            <w:pPr>
              <w:pStyle w:val="null3"/>
              <w:jc w:val="both"/>
            </w:pPr>
            <w:r>
              <w:rPr/>
              <w:t>根据投标人为保证饭菜新鲜度采取的保障措施情况，由评委进行评议：方案包含的要点齐全无缺漏项、内容与要点相符、每个要点均有展开详细的阐述且能够适用于本项目得3分；方案所包含的要点齐全、内容与要点相符、每个要点均有展开阐述且基本能够适用于本项目的得2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both"/>
            </w:pPr>
            <w:r>
              <w:rPr/>
              <w:t>26、经营服务2</w:t>
            </w:r>
          </w:p>
        </w:tc>
        <w:tc>
          <w:tcPr>
            <w:tcW w:type="dxa" w:w="831"/>
          </w:tcPr>
          <w:p>
            <w:pPr>
              <w:pStyle w:val="null3"/>
              <w:jc w:val="right"/>
            </w:pPr>
            <w:r>
              <w:rPr/>
              <w:t>3.00</w:t>
            </w:r>
          </w:p>
        </w:tc>
        <w:tc>
          <w:tcPr>
            <w:tcW w:type="dxa" w:w="4153"/>
          </w:tcPr>
          <w:p>
            <w:pPr>
              <w:pStyle w:val="null3"/>
              <w:jc w:val="both"/>
            </w:pPr>
            <w:r>
              <w:rPr/>
              <w:t>根据投标人按消防要求配备中央厨房消防器材、消防安全检查制度、确保中央厨房消防安全达标的情况，方案合理全面，可行性高的得3分；方案较为合理，可行性较高的得2分；方案基本满足要求的得1分；差的或者未提供的不得分。</w:t>
            </w:r>
          </w:p>
        </w:tc>
      </w:tr>
      <w:tr>
        <w:tc>
          <w:tcPr>
            <w:tcW w:type="dxa" w:w="3322"/>
          </w:tcPr>
          <w:p>
            <w:pPr>
              <w:pStyle w:val="null3"/>
              <w:jc w:val="both"/>
            </w:pPr>
            <w:r>
              <w:rPr/>
              <w:t>27、经营服务3</w:t>
            </w:r>
          </w:p>
        </w:tc>
        <w:tc>
          <w:tcPr>
            <w:tcW w:type="dxa" w:w="831"/>
          </w:tcPr>
          <w:p>
            <w:pPr>
              <w:pStyle w:val="null3"/>
              <w:jc w:val="right"/>
            </w:pPr>
            <w:r>
              <w:rPr/>
              <w:t>2.00</w:t>
            </w:r>
          </w:p>
        </w:tc>
        <w:tc>
          <w:tcPr>
            <w:tcW w:type="dxa" w:w="4153"/>
          </w:tcPr>
          <w:p>
            <w:pPr>
              <w:pStyle w:val="null3"/>
              <w:jc w:val="both"/>
            </w:pPr>
            <w:r>
              <w:rPr/>
              <w:t>根据投标人提供的食品采购及进出仓管理制度，由评委进行评议：方案包含的要点齐全无缺漏项、内容与要点相符、每个要点均有展开详细的阐述且能够适用于本项目得2分；方案所包含的要点齐全、内容与要点相符、每个要点均有展开阐述且基本能够适用于本项目的得1分；方案所包含的要点有缺漏、内容与要点相符但仅有纲要、内容简略，未展开详细阐述但基本能够适用于本项目的得0.5分；未提供或内容存在明显错误、内容明显不适用于本项目需求的均不得分。</w:t>
            </w:r>
          </w:p>
        </w:tc>
      </w:tr>
    </w:tbl>
    <w:p>
      <w:pPr>
        <w:pStyle w:val="null3"/>
        <w:jc w:val="both"/>
      </w:pPr>
      <w:r>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1、业绩</w:t>
            </w:r>
          </w:p>
        </w:tc>
        <w:tc>
          <w:tcPr>
            <w:tcW w:type="dxa" w:w="831"/>
          </w:tcPr>
          <w:p>
            <w:pPr>
              <w:pStyle w:val="null3"/>
              <w:jc w:val="right"/>
            </w:pPr>
            <w:r>
              <w:rPr/>
              <w:t>3.00</w:t>
            </w:r>
          </w:p>
        </w:tc>
        <w:tc>
          <w:tcPr>
            <w:tcW w:type="dxa" w:w="4153"/>
          </w:tcPr>
          <w:p>
            <w:pPr>
              <w:pStyle w:val="null3"/>
              <w:jc w:val="both"/>
            </w:pPr>
            <w:r>
              <w:rPr/>
              <w:t>根据投标人所提供的自2020年1月1日起至本项目投标截止日期止（日期以满意度落款日期为准）同类集体用餐配送服务项目业绩，每提供一份业绩证明得1分，满分3分。 注：投标人须同时提供该采购项目的中标公告（提供相关网站中标公告的下载网页并注明网址）、中标通知书复印件、采购合同文本复印件，以及能够证明该采购项目已经采购人验收合格的相关证明文件复印件。未同时提供上述材料的不得分。</w:t>
            </w:r>
          </w:p>
        </w:tc>
      </w:tr>
      <w:tr>
        <w:tc>
          <w:tcPr>
            <w:tcW w:type="dxa" w:w="3322"/>
          </w:tcPr>
          <w:p>
            <w:pPr>
              <w:pStyle w:val="null3"/>
              <w:jc w:val="both"/>
            </w:pPr>
            <w:r>
              <w:rPr/>
              <w:t>2、投标人综合实力1</w:t>
            </w:r>
          </w:p>
        </w:tc>
        <w:tc>
          <w:tcPr>
            <w:tcW w:type="dxa" w:w="831"/>
          </w:tcPr>
          <w:p>
            <w:pPr>
              <w:pStyle w:val="null3"/>
              <w:jc w:val="right"/>
            </w:pPr>
            <w:r>
              <w:rPr/>
              <w:t>3.00</w:t>
            </w:r>
          </w:p>
        </w:tc>
        <w:tc>
          <w:tcPr>
            <w:tcW w:type="dxa" w:w="4153"/>
          </w:tcPr>
          <w:p>
            <w:pPr>
              <w:pStyle w:val="null3"/>
              <w:jc w:val="both"/>
            </w:pPr>
            <w:r>
              <w:rPr/>
              <w:t>投标人为本项目派驻三级或以上等级厨师人数在4人（含）以上的得3分，投标人为本项目派驻三级或以上等级厨师人数在3人（含）以上的得2分， 投标人为本项目派驻三级或以上等级厨师人数在2人（含）以上的得1分；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t>3、投标人综合实力2</w:t>
            </w:r>
          </w:p>
        </w:tc>
        <w:tc>
          <w:tcPr>
            <w:tcW w:type="dxa" w:w="831"/>
          </w:tcPr>
          <w:p>
            <w:pPr>
              <w:pStyle w:val="null3"/>
              <w:jc w:val="right"/>
            </w:pPr>
            <w:r>
              <w:rPr/>
              <w:t>1.00</w:t>
            </w:r>
          </w:p>
        </w:tc>
        <w:tc>
          <w:tcPr>
            <w:tcW w:type="dxa" w:w="4153"/>
          </w:tcPr>
          <w:p>
            <w:pPr>
              <w:pStyle w:val="null3"/>
              <w:jc w:val="both"/>
            </w:pPr>
            <w:r>
              <w:rPr/>
              <w:t>投标人为本项目派驻人员中，具备有高级健康管理师资格的得1分。 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t>4、投标人综合实力3</w:t>
            </w:r>
          </w:p>
        </w:tc>
        <w:tc>
          <w:tcPr>
            <w:tcW w:type="dxa" w:w="831"/>
          </w:tcPr>
          <w:p>
            <w:pPr>
              <w:pStyle w:val="null3"/>
              <w:jc w:val="right"/>
            </w:pPr>
            <w:r>
              <w:rPr/>
              <w:t>1.00</w:t>
            </w:r>
          </w:p>
        </w:tc>
        <w:tc>
          <w:tcPr>
            <w:tcW w:type="dxa" w:w="4153"/>
          </w:tcPr>
          <w:p>
            <w:pPr>
              <w:pStyle w:val="null3"/>
              <w:jc w:val="both"/>
            </w:pPr>
            <w:r>
              <w:rPr/>
              <w:t>根据投标人为本项目配置的食品安全管理员证书的得1分。注：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t>5、健康证情况</w:t>
            </w:r>
          </w:p>
        </w:tc>
        <w:tc>
          <w:tcPr>
            <w:tcW w:type="dxa" w:w="831"/>
          </w:tcPr>
          <w:p>
            <w:pPr>
              <w:pStyle w:val="null3"/>
              <w:jc w:val="right"/>
            </w:pPr>
            <w:r>
              <w:rPr/>
              <w:t>3.00</w:t>
            </w:r>
          </w:p>
        </w:tc>
        <w:tc>
          <w:tcPr>
            <w:tcW w:type="dxa" w:w="4153"/>
          </w:tcPr>
          <w:p>
            <w:pPr>
              <w:pStyle w:val="null3"/>
              <w:jc w:val="both"/>
            </w:pPr>
            <w:r>
              <w:rPr/>
              <w:t>根据投标人拟投入本项目的服务人员数量进行评分，要求必须具有健康证，10人≤拟投入人员&lt;20人的得1分，20人≤拟投入人员&lt;30人的得2分，30人≤拟投入人员的得3分。注：上述服务人员须为投标人本企业在岗人员，须提供响应文件截止时间前六个月（不含提交响应文件截止时间的当月）中任一月份的社保缴纳凭据复印件和健康证复印件，所有材料缺一不可，否则不得分。</w:t>
            </w:r>
          </w:p>
        </w:tc>
      </w:tr>
      <w:tr>
        <w:tc>
          <w:tcPr>
            <w:tcW w:type="dxa" w:w="3322"/>
          </w:tcPr>
          <w:p>
            <w:pPr>
              <w:pStyle w:val="null3"/>
              <w:jc w:val="both"/>
            </w:pPr>
            <w:r>
              <w:rPr/>
              <w:t>6、食品检验员</w:t>
            </w:r>
          </w:p>
        </w:tc>
        <w:tc>
          <w:tcPr>
            <w:tcW w:type="dxa" w:w="831"/>
          </w:tcPr>
          <w:p>
            <w:pPr>
              <w:pStyle w:val="null3"/>
              <w:jc w:val="right"/>
            </w:pPr>
            <w:r>
              <w:rPr/>
              <w:t>2.00</w:t>
            </w:r>
          </w:p>
        </w:tc>
        <w:tc>
          <w:tcPr>
            <w:tcW w:type="dxa" w:w="4153"/>
          </w:tcPr>
          <w:p>
            <w:pPr>
              <w:pStyle w:val="null3"/>
              <w:jc w:val="both"/>
            </w:pPr>
            <w:r>
              <w:rPr/>
              <w:t>根据投标人为本项目配置的食品检验员人数情况进行评分，每提供1位得1分，满分2分。须同时提供人员证书复印件及投标截止时间前六个月任意一个月（不含投标截止时间的当月）由投标人为其缴纳的社会保障资金凭据复印件，未同时提供以上材料的不得分。</w:t>
            </w:r>
          </w:p>
        </w:tc>
      </w:tr>
      <w:tr>
        <w:tc>
          <w:tcPr>
            <w:tcW w:type="dxa" w:w="3322"/>
          </w:tcPr>
          <w:p>
            <w:pPr>
              <w:pStyle w:val="null3"/>
              <w:jc w:val="both"/>
            </w:pPr>
            <w:r>
              <w:rPr/>
              <w:t>7、快速响应能力</w:t>
            </w:r>
          </w:p>
        </w:tc>
        <w:tc>
          <w:tcPr>
            <w:tcW w:type="dxa" w:w="831"/>
          </w:tcPr>
          <w:p>
            <w:pPr>
              <w:pStyle w:val="null3"/>
              <w:jc w:val="right"/>
            </w:pPr>
            <w:r>
              <w:rPr/>
              <w:t>3.00</w:t>
            </w:r>
          </w:p>
        </w:tc>
        <w:tc>
          <w:tcPr>
            <w:tcW w:type="dxa" w:w="4153"/>
          </w:tcPr>
          <w:p>
            <w:pPr>
              <w:pStyle w:val="null3"/>
              <w:jc w:val="both"/>
            </w:pPr>
            <w:r>
              <w:rPr/>
              <w:t>根据投标人快速响应采购人服务、任务需求，进行应急供应保障投标人应急承诺响应时间在5小时内的，应急方案可行性高的得3分；投标人应急承诺响应时间在8小时内的，应急方案可行性较高的得2分；投标人应急承诺响应时间在10小时内的，应急方案可行性一般的得1分；未作出承诺的不得分。</w:t>
            </w:r>
          </w:p>
        </w:tc>
      </w:tr>
      <w:tr>
        <w:tc>
          <w:tcPr>
            <w:tcW w:type="dxa" w:w="3322"/>
          </w:tcPr>
          <w:p>
            <w:pPr>
              <w:pStyle w:val="null3"/>
              <w:jc w:val="both"/>
            </w:pPr>
            <w:r>
              <w:rPr/>
              <w:t>8、食品安全事故情况</w:t>
            </w:r>
          </w:p>
        </w:tc>
        <w:tc>
          <w:tcPr>
            <w:tcW w:type="dxa" w:w="831"/>
          </w:tcPr>
          <w:p>
            <w:pPr>
              <w:pStyle w:val="null3"/>
              <w:jc w:val="right"/>
            </w:pPr>
            <w:r>
              <w:rPr/>
              <w:t>2.00</w:t>
            </w:r>
          </w:p>
        </w:tc>
        <w:tc>
          <w:tcPr>
            <w:tcW w:type="dxa" w:w="4153"/>
          </w:tcPr>
          <w:p>
            <w:pPr>
              <w:pStyle w:val="null3"/>
              <w:jc w:val="both"/>
            </w:pPr>
            <w:r>
              <w:rPr/>
              <w:t>投标人需承诺在本项目投标截止时间前三年内在提供餐饮服务期间无发生重大食品安全事故的得2分。投标人需提供承诺函，未提供的本项不得分。若声明事项与实际不符，一经查实，视为无效投标，并按相关规定进行处理。</w:t>
            </w:r>
          </w:p>
        </w:tc>
      </w:tr>
      <w:tr>
        <w:tc>
          <w:tcPr>
            <w:tcW w:type="dxa" w:w="3322"/>
          </w:tcPr>
          <w:p>
            <w:pPr>
              <w:pStyle w:val="null3"/>
              <w:jc w:val="both"/>
            </w:pPr>
            <w:r>
              <w:rPr/>
              <w:t>9、保密承诺</w:t>
            </w:r>
          </w:p>
        </w:tc>
        <w:tc>
          <w:tcPr>
            <w:tcW w:type="dxa" w:w="831"/>
          </w:tcPr>
          <w:p>
            <w:pPr>
              <w:pStyle w:val="null3"/>
              <w:jc w:val="right"/>
            </w:pPr>
            <w:r>
              <w:rPr/>
              <w:t>2.00</w:t>
            </w:r>
          </w:p>
        </w:tc>
        <w:tc>
          <w:tcPr>
            <w:tcW w:type="dxa" w:w="4153"/>
          </w:tcPr>
          <w:p>
            <w:pPr>
              <w:pStyle w:val="null3"/>
              <w:jc w:val="both"/>
            </w:pPr>
            <w:r>
              <w:rPr/>
              <w:t>投标人须对所接受的任务做出安全保密承诺（承诺函格式自拟），提供的得2分，不提供不得分。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6.40</w:t>
            </w:r>
          </w:p>
        </w:tc>
        <w:tc>
          <w:tcPr>
            <w:tcW w:type="dxa" w:w="4153"/>
          </w:tcPr>
          <w:p>
            <w:pPr>
              <w:pStyle w:val="null3"/>
              <w:jc w:val="both"/>
            </w:pPr>
            <w:r>
              <w:rPr/>
              <w:t>（若有）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无</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spacing w:before="105" w:after="105"/>
        <w:ind w:firstLine="480"/>
        <w:jc w:val="left"/>
      </w:pPr>
      <w:r>
        <w:rPr>
          <w:rFonts w:ascii="宋体" w:hAnsi="宋体" w:cs="宋体" w:eastAsia="宋体"/>
          <w:b/>
          <w:color w:val="000000"/>
          <w:sz w:val="24"/>
        </w:rPr>
        <w:t>1、本次招标项目为福建省军用饮食供应站军供保障社会化协作单位服务类采购项目。</w:t>
      </w:r>
    </w:p>
    <w:p>
      <w:pPr>
        <w:pStyle w:val="null3"/>
        <w:ind w:firstLine="480"/>
        <w:jc w:val="both"/>
      </w:pPr>
      <w:r>
        <w:rPr>
          <w:rFonts w:ascii="宋体" w:hAnsi="宋体" w:cs="宋体" w:eastAsia="宋体"/>
          <w:b/>
          <w:sz w:val="24"/>
        </w:rPr>
        <w:t>2、服务期限为三年。每服务满一年的前一个月，经采购人考核通过后，继续履行第二年的合同，以此类推。考核未通过，则服务期每满一年后即终止合同，另行招标确定新的军供保障社会化协作单位。若采购人需要，合同期满后可酌情延长，但延长期限不超过壹年。</w:t>
      </w:r>
    </w:p>
    <w:p>
      <w:pPr>
        <w:pStyle w:val="null3"/>
        <w:jc w:val="both"/>
        <w:outlineLvl w:val="2"/>
      </w:pPr>
      <w:r>
        <w:rPr>
          <w:b/>
          <w:sz w:val="28"/>
        </w:rPr>
        <w:t>二、技术和服务要求（以“★”标示的内容为不允许负偏离的实质性要求）</w:t>
      </w:r>
    </w:p>
    <w:p>
      <w:pPr>
        <w:pStyle w:val="null3"/>
        <w:jc w:val="left"/>
      </w:pPr>
    </w:p>
    <w:p>
      <w:pPr>
        <w:pStyle w:val="null3"/>
      </w:pPr>
    </w:p>
    <w:p>
      <w:pPr>
        <w:pStyle w:val="null3"/>
        <w:jc w:val="both"/>
      </w:pPr>
      <w:r>
        <w:rPr>
          <w:rFonts w:ascii="宋体" w:hAnsi="宋体" w:cs="宋体" w:eastAsia="宋体"/>
          <w:b/>
          <w:sz w:val="24"/>
        </w:rPr>
        <w:t>★1、具体套餐要求：详见附件</w:t>
      </w:r>
    </w:p>
    <w:p>
      <w:pPr>
        <w:pStyle w:val="null3"/>
        <w:ind w:firstLine="480"/>
        <w:jc w:val="both"/>
      </w:pPr>
    </w:p>
    <w:p>
      <w:pPr>
        <w:pStyle w:val="null3"/>
        <w:ind w:firstLine="480"/>
        <w:jc w:val="both"/>
      </w:pPr>
      <w:r>
        <w:rPr>
          <w:rFonts w:ascii="宋体" w:hAnsi="宋体" w:cs="宋体" w:eastAsia="宋体"/>
          <w:b/>
          <w:sz w:val="24"/>
        </w:rPr>
        <w:t>注：附件中的每份餐食价格为不可变动单价，投标人在技术商务部分对单价内容进行响应时，只须承诺按招标文件第五章所列单价响应即可，无须列明具体价格。</w:t>
      </w:r>
    </w:p>
    <w:p>
      <w:pPr>
        <w:pStyle w:val="null3"/>
        <w:ind w:firstLine="480"/>
        <w:jc w:val="both"/>
      </w:pPr>
      <w:r>
        <w:rPr>
          <w:rFonts w:ascii="宋体" w:hAnsi="宋体" w:cs="宋体" w:eastAsia="宋体"/>
          <w:b/>
          <w:sz w:val="24"/>
        </w:rPr>
        <w:t>例如：</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165"/>
        <w:gridCol w:w="5115"/>
      </w:tblGrid>
      <w:tr>
        <w:tc>
          <w:tcPr>
            <w:tcW w:type="dxa" w:w="3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技术和服务要求</w:t>
            </w:r>
          </w:p>
        </w:tc>
        <w:tc>
          <w:tcPr>
            <w:tcW w:type="dxa" w:w="5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投标响应</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餐食按每份25元计价；</w:t>
            </w:r>
          </w:p>
          <w:p>
            <w:pPr>
              <w:pStyle w:val="null3"/>
              <w:ind w:firstLine="380"/>
              <w:jc w:val="both"/>
            </w:pPr>
            <w:r>
              <w:rPr>
                <w:rFonts w:ascii="宋体" w:hAnsi="宋体" w:cs="宋体" w:eastAsia="宋体"/>
                <w:b/>
                <w:sz w:val="21"/>
              </w:rPr>
              <w:t>包括税收、管理费、加工制作费、采购代办费、加班补贴和运输费用等</w:t>
            </w:r>
          </w:p>
        </w:tc>
        <w:tc>
          <w:tcPr>
            <w:tcW w:type="dxa" w:w="5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1"/>
              </w:rPr>
              <w:t>完全满足招标文件要求，具体价格详见报价册。</w:t>
            </w:r>
          </w:p>
          <w:p>
            <w:pPr>
              <w:pStyle w:val="null3"/>
              <w:ind w:firstLine="380"/>
              <w:jc w:val="both"/>
            </w:pPr>
          </w:p>
        </w:tc>
      </w:tr>
    </w:tbl>
    <w:p>
      <w:pPr>
        <w:pStyle w:val="null3"/>
        <w:ind w:firstLine="480"/>
        <w:jc w:val="both"/>
      </w:pPr>
      <w:r>
        <w:rPr>
          <w:rFonts w:ascii="宋体" w:hAnsi="宋体" w:cs="宋体" w:eastAsia="宋体"/>
          <w:b/>
          <w:sz w:val="21"/>
        </w:rPr>
        <w:t>2、服务要求</w:t>
      </w:r>
    </w:p>
    <w:p>
      <w:pPr>
        <w:pStyle w:val="null3"/>
        <w:spacing w:before="105" w:after="105"/>
        <w:jc w:val="left"/>
      </w:pPr>
      <w:r>
        <w:rPr>
          <w:rFonts w:ascii="calibri" w:hAnsi="calibri" w:cs="calibri" w:eastAsia="calibri"/>
          <w:b/>
          <w:sz w:val="24"/>
        </w:rPr>
        <w:t>★</w:t>
      </w:r>
      <w:r>
        <w:rPr>
          <w:rFonts w:ascii="宋体" w:hAnsi="宋体" w:cs="宋体" w:eastAsia="宋体"/>
          <w:b/>
          <w:sz w:val="21"/>
        </w:rPr>
        <w:t>2.1“具体套餐要求”中为每份套餐的价格及内容，军供保障年供应数量约为19597份，在服务期内，采购人可随时向中标人提出采购需求，并有权根据任务需求情况，对“具体套餐要求”中的套餐进行调整（增或减）或采购“采购标的”之外的商品，实际供餐以采购人军供通报为准，实际结算价=单价×供应数量。</w:t>
      </w:r>
    </w:p>
    <w:p>
      <w:pPr>
        <w:pStyle w:val="null3"/>
        <w:spacing w:before="105" w:after="105"/>
        <w:ind w:firstLine="480"/>
        <w:jc w:val="left"/>
      </w:pPr>
      <w:r>
        <w:rPr>
          <w:rFonts w:ascii="宋体" w:hAnsi="宋体" w:cs="宋体" w:eastAsia="宋体"/>
          <w:b/>
          <w:sz w:val="21"/>
        </w:rPr>
        <w:t>(评审项号1)2.2供应套餐（西餐除外）的热度保持在60℃（含）以上。</w:t>
      </w:r>
    </w:p>
    <w:p>
      <w:pPr>
        <w:pStyle w:val="null3"/>
        <w:spacing w:before="105" w:after="105"/>
        <w:ind w:firstLine="480"/>
        <w:jc w:val="left"/>
      </w:pPr>
      <w:r>
        <w:rPr>
          <w:rFonts w:ascii="宋体" w:hAnsi="宋体" w:cs="宋体" w:eastAsia="宋体"/>
          <w:b/>
          <w:sz w:val="21"/>
        </w:rPr>
        <w:t>(评审项号2)2.4每次订餐提前12小时（含）或以上向中标人通报需要快餐份数及餐品要求。若部队实际需要的快餐份数较事先通报份数有较大变化，如份数在50份以内，提前3小时通知中标人；50份以上，提前5小时通知中标人。</w:t>
      </w:r>
    </w:p>
    <w:p>
      <w:pPr>
        <w:pStyle w:val="null3"/>
        <w:spacing w:before="105" w:after="105"/>
        <w:ind w:firstLine="480"/>
        <w:jc w:val="left"/>
      </w:pPr>
      <w:r>
        <w:rPr>
          <w:rFonts w:ascii="宋体" w:hAnsi="宋体" w:cs="宋体" w:eastAsia="宋体"/>
          <w:b/>
          <w:sz w:val="21"/>
        </w:rPr>
        <w:t>(评审项号3)2.5中标人提供的套餐包装必须与运输方式相适应，包装方式的确定、包装费用、运费以及其他在途产生的费用均由中标人承担。</w:t>
      </w:r>
    </w:p>
    <w:p>
      <w:pPr>
        <w:pStyle w:val="null3"/>
        <w:spacing w:before="105" w:after="105"/>
        <w:ind w:firstLine="480"/>
        <w:jc w:val="left"/>
      </w:pPr>
      <w:r>
        <w:rPr>
          <w:rFonts w:ascii="宋体" w:hAnsi="宋体" w:cs="宋体" w:eastAsia="宋体"/>
          <w:b/>
          <w:sz w:val="21"/>
        </w:rPr>
        <w:t>(评审项号4)2.6采购人每次对菜单、菜样进行必要的检查，并派人监督大米、菜品的清洗、切制、烹饪、检验、分装、装箱、装车等全过程，中标人应积极配合。</w:t>
      </w:r>
    </w:p>
    <w:p>
      <w:pPr>
        <w:pStyle w:val="null3"/>
        <w:spacing w:before="105" w:after="105"/>
        <w:ind w:firstLine="420"/>
        <w:jc w:val="left"/>
      </w:pPr>
      <w:r>
        <w:rPr>
          <w:rFonts w:ascii="calibri" w:hAnsi="calibri" w:cs="calibri" w:eastAsia="calibri"/>
          <w:b/>
          <w:sz w:val="24"/>
        </w:rPr>
        <w:t>★</w:t>
      </w:r>
      <w:r>
        <w:rPr>
          <w:rFonts w:ascii="宋体" w:hAnsi="宋体" w:cs="宋体" w:eastAsia="宋体"/>
          <w:b/>
          <w:sz w:val="21"/>
        </w:rPr>
        <w:t>2.7若部队需要采购人单独提供饮水保障时，中标人应按采购人要求提供瓶装品牌饮用水，容量不低于500毫升，费用按照每瓶1.5元结算。</w:t>
      </w:r>
    </w:p>
    <w:p>
      <w:pPr>
        <w:pStyle w:val="null3"/>
        <w:spacing w:before="105" w:after="105"/>
        <w:ind w:firstLine="420"/>
        <w:jc w:val="left"/>
      </w:pPr>
      <w:r>
        <w:rPr>
          <w:rFonts w:ascii="calibri" w:hAnsi="calibri" w:cs="calibri" w:eastAsia="calibri"/>
          <w:b/>
          <w:sz w:val="24"/>
        </w:rPr>
        <w:t>★</w:t>
      </w:r>
      <w:r>
        <w:rPr>
          <w:rFonts w:ascii="宋体" w:hAnsi="宋体" w:cs="宋体" w:eastAsia="宋体"/>
          <w:b/>
          <w:sz w:val="21"/>
        </w:rPr>
        <w:t>2.8若部队需要采购人提供水果保障时，中标人应按采购人要求，根据季节提供苹果、香蕉和桔子等水果，每个重量不低于3两，按照2元结算，费用另行结算。</w:t>
      </w:r>
    </w:p>
    <w:p>
      <w:pPr>
        <w:pStyle w:val="null3"/>
        <w:spacing w:before="105" w:after="105"/>
        <w:ind w:firstLine="480"/>
        <w:jc w:val="left"/>
      </w:pPr>
      <w:r>
        <w:rPr>
          <w:rFonts w:ascii="宋体" w:hAnsi="宋体" w:cs="宋体" w:eastAsia="宋体"/>
          <w:b/>
          <w:sz w:val="21"/>
        </w:rPr>
        <w:t>(评审项号5)2.9若遇到中标人无法满足采购人供应需要的大批量军供任务时，采购人有权自行确定一家或多家具有相关资质及能力的同类公司共同参与保障。</w:t>
      </w:r>
    </w:p>
    <w:p>
      <w:pPr>
        <w:pStyle w:val="null3"/>
        <w:spacing w:before="105" w:after="105"/>
        <w:ind w:firstLine="480"/>
        <w:jc w:val="left"/>
      </w:pPr>
      <w:r>
        <w:rPr>
          <w:rFonts w:ascii="宋体" w:hAnsi="宋体" w:cs="宋体" w:eastAsia="宋体"/>
          <w:b/>
          <w:sz w:val="21"/>
        </w:rPr>
        <w:t>(评审项号6)2.10若在军供套餐交付时间前5小时内取消订餐，由此造成的损失由双方协商解决。若在军供套餐交付时间前5小时以上取消订餐，双方免责。</w:t>
      </w:r>
    </w:p>
    <w:p>
      <w:pPr>
        <w:pStyle w:val="null3"/>
        <w:ind w:firstLine="480"/>
        <w:jc w:val="both"/>
      </w:pPr>
      <w:r>
        <w:rPr>
          <w:rFonts w:ascii="宋体" w:hAnsi="宋体" w:cs="宋体" w:eastAsia="宋体"/>
          <w:b/>
          <w:sz w:val="21"/>
        </w:rPr>
        <w:t>(评审项号7)</w:t>
      </w:r>
      <w:r>
        <w:rPr>
          <w:rFonts w:ascii="calibri" w:hAnsi="calibri" w:cs="calibri" w:eastAsia="calibri"/>
          <w:b/>
          <w:sz w:val="21"/>
        </w:rPr>
        <w:t>2.11</w:t>
      </w:r>
      <w:r>
        <w:rPr>
          <w:rFonts w:ascii="宋体" w:hAnsi="宋体" w:cs="宋体" w:eastAsia="宋体"/>
          <w:b/>
          <w:sz w:val="21"/>
        </w:rPr>
        <w:t>军供饮食的配送地点为福州区域（以福州东站和闽侯杜坞站为主，但不仅限于该两地），投标人应严格按照采购人要求，将军供饮食准时送达采购人指定的保障点。</w:t>
      </w:r>
    </w:p>
    <w:p>
      <w:pPr>
        <w:pStyle w:val="null3"/>
        <w:spacing w:before="105" w:after="105"/>
        <w:ind w:firstLine="420"/>
        <w:jc w:val="left"/>
      </w:pPr>
      <w:r>
        <w:rPr>
          <w:rFonts w:ascii="宋体" w:hAnsi="宋体" w:cs="宋体" w:eastAsia="宋体"/>
          <w:b/>
          <w:sz w:val="21"/>
        </w:rPr>
        <w:t>(评审项号8)</w:t>
      </w:r>
      <w:r>
        <w:rPr>
          <w:rFonts w:ascii="calibri" w:hAnsi="calibri" w:cs="calibri" w:eastAsia="calibri"/>
          <w:b/>
          <w:sz w:val="21"/>
        </w:rPr>
        <w:t>2.12</w:t>
      </w:r>
      <w:r>
        <w:rPr>
          <w:rFonts w:ascii="宋体" w:hAnsi="宋体" w:cs="宋体" w:eastAsia="宋体"/>
          <w:b/>
          <w:sz w:val="21"/>
        </w:rPr>
        <w:t>按照上级要求，采购人如遇单一批次</w:t>
      </w:r>
      <w:r>
        <w:rPr>
          <w:rFonts w:ascii="calibri" w:hAnsi="calibri" w:cs="calibri" w:eastAsia="calibri"/>
          <w:b/>
          <w:sz w:val="21"/>
        </w:rPr>
        <w:t>300</w:t>
      </w:r>
      <w:r>
        <w:rPr>
          <w:rFonts w:ascii="宋体" w:hAnsi="宋体" w:cs="宋体" w:eastAsia="宋体"/>
          <w:b/>
          <w:sz w:val="21"/>
        </w:rPr>
        <w:t>人以内由中标单位根据保障任务人数，提供采购人要求的合同套餐相应食材原料、辅料，并派厨师等人员到我站军供保障厨房协助完成保障任务。</w:t>
      </w:r>
    </w:p>
    <w:p>
      <w:pPr>
        <w:pStyle w:val="null3"/>
        <w:jc w:val="both"/>
        <w:outlineLvl w:val="2"/>
      </w:pPr>
      <w:r>
        <w:rPr>
          <w:b/>
          <w:sz w:val="28"/>
        </w:rPr>
        <w:t>三、商务要求（以“★”标示的内容为不允许负偏离的实质性要求）</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自合同签订之日起1095日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按照国家相关标准、行业标准及招标文件要求执行。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 验收由采购人指定专人和中标人依照招标文件、相关合同的规定以及相关质量标准等要求共同进行。2、每次供餐应由采购人指定专职人员在“送餐单”上签字确认后，方可视作快餐验收完毕。“送餐单”应载明当次所采购快餐的数量、规格等内容，并与采购人的实际采购需求一一对应，由中标人负责制作。</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1、每月结算一次，由中标人提供正式的税务发票，达到付款条件起25日内，支付合同总金额的100.00%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合同支付方式：每月结算一次，以采购人军供通报为准，实际结算价=单价×供应数量，由中标人提供正式的税务发票，达到付款条件起25日内，支付合同约定的实际结算价（招标文件其他条款约定与本条不一致的，以本条文为准。）</w:t>
            </w:r>
          </w:p>
        </w:tc>
      </w:tr>
    </w:tbl>
    <w:p>
      <w:pPr>
        <w:pStyle w:val="null3"/>
        <w:jc w:val="left"/>
      </w:pPr>
      <w:r>
        <w:rPr/>
        <w:t>其他商务要求</w:t>
      </w:r>
    </w:p>
    <w:p>
      <w:pPr>
        <w:pStyle w:val="null3"/>
        <w:ind w:firstLine="480"/>
        <w:jc w:val="left"/>
      </w:pPr>
    </w:p>
    <w:p>
      <w:pPr>
        <w:pStyle w:val="null3"/>
      </w:pPr>
    </w:p>
    <w:p>
      <w:pPr>
        <w:pStyle w:val="null3"/>
        <w:ind w:left="480" w:firstLine="480"/>
        <w:jc w:val="both"/>
      </w:pPr>
      <w:r>
        <w:rPr>
          <w:rFonts w:ascii="宋体" w:hAnsi="宋体" w:cs="宋体" w:eastAsia="宋体"/>
          <w:b/>
          <w:color w:val="000000"/>
          <w:sz w:val="24"/>
        </w:rPr>
        <w:t>9、质量要求和安全责任</w:t>
      </w:r>
    </w:p>
    <w:p>
      <w:pPr>
        <w:pStyle w:val="null3"/>
        <w:spacing w:before="105" w:after="105"/>
        <w:ind w:firstLine="420"/>
        <w:jc w:val="left"/>
      </w:pPr>
      <w:r>
        <w:rPr>
          <w:rFonts w:ascii="宋体" w:hAnsi="宋体" w:cs="宋体" w:eastAsia="宋体"/>
          <w:b/>
          <w:color w:val="000000"/>
          <w:sz w:val="24"/>
        </w:rPr>
        <w:t>9.1中标人保证所供应的所有食品均来自合法渠道且必须提供相应卫生合格证明、来源渠道证明及其他合法证明，做好台帐及留样工作。每次向采购人提供一份详细资料和样品备查。</w:t>
      </w:r>
    </w:p>
    <w:p>
      <w:pPr>
        <w:pStyle w:val="null3"/>
        <w:spacing w:before="105" w:after="105"/>
        <w:ind w:firstLine="420"/>
        <w:jc w:val="left"/>
      </w:pPr>
      <w:r>
        <w:rPr>
          <w:rFonts w:ascii="宋体" w:hAnsi="宋体" w:cs="宋体" w:eastAsia="宋体"/>
          <w:b/>
          <w:color w:val="000000"/>
          <w:sz w:val="24"/>
        </w:rPr>
        <w:t>9.2中标人接到采购人的军供通报后（春节假期期间除外），必须积极配合供餐；不得推诿拒供，不得迟供、漏供、少供，若违反本协议，采购人有权解除合同，并拒付所有未付的款项，同时有权要求中标人承担人民币壹万元的违约金。若导致军方对采购人进行通报批评等其他责任的，中标人应当另行承担违约金贰拾万元。</w:t>
      </w:r>
    </w:p>
    <w:p>
      <w:pPr>
        <w:pStyle w:val="null3"/>
        <w:spacing w:before="105" w:after="105"/>
        <w:ind w:firstLine="420"/>
        <w:jc w:val="left"/>
      </w:pPr>
      <w:r>
        <w:rPr>
          <w:rFonts w:ascii="宋体" w:hAnsi="宋体" w:cs="宋体" w:eastAsia="宋体"/>
          <w:b/>
          <w:color w:val="000000"/>
          <w:sz w:val="24"/>
        </w:rPr>
        <w:t>9.3中标人有完善的果蔬农药残留检测程序、设备和操作人员。</w:t>
      </w:r>
    </w:p>
    <w:p>
      <w:pPr>
        <w:pStyle w:val="null3"/>
        <w:spacing w:before="105" w:after="105"/>
        <w:ind w:firstLine="420"/>
        <w:jc w:val="left"/>
      </w:pPr>
      <w:r>
        <w:rPr>
          <w:b/>
        </w:rPr>
        <w:t xml:space="preserve">  9</w:t>
      </w:r>
      <w:r>
        <w:rPr>
          <w:rFonts w:ascii="宋体" w:hAnsi="宋体" w:cs="宋体" w:eastAsia="宋体"/>
          <w:b/>
          <w:color w:val="000000"/>
          <w:sz w:val="24"/>
        </w:rPr>
        <w:t>.4中标人应严格按照《食品卫生法》严把食品质量关，确保每份快餐安全、足量、卫生、准时。做到所有食材具有可追溯性采购并符合国家卫生要求，所有的食材必须要做到索证索票。如因中标人原因发生的食品卫生安全事故或其他食品安全责任的，采购人有权解除合同，并拒付所有未付的款项，同时有权要求中标人赔偿损失并承担人民币十万元的违约金。若导致军方对采购人进行通报批评等其他责任的，中标人应当另行承担违约金贰拾万元。</w:t>
      </w:r>
    </w:p>
    <w:p>
      <w:pPr>
        <w:pStyle w:val="null3"/>
        <w:spacing w:before="105" w:after="105"/>
        <w:ind w:firstLine="480"/>
        <w:jc w:val="left"/>
      </w:pPr>
      <w:r>
        <w:rPr>
          <w:b/>
        </w:rPr>
        <w:t xml:space="preserve">  9</w:t>
      </w:r>
      <w:r>
        <w:rPr>
          <w:rFonts w:ascii="宋体" w:hAnsi="宋体" w:cs="宋体" w:eastAsia="宋体"/>
          <w:b/>
          <w:color w:val="000000"/>
          <w:sz w:val="24"/>
        </w:rPr>
        <w:t>.5采购人有权就中标人提供的快餐饭菜及包装随时进行抽样检验，对不符合要求的有权责令其立即整改到位。</w:t>
      </w:r>
    </w:p>
    <w:p>
      <w:pPr>
        <w:pStyle w:val="null3"/>
        <w:spacing w:before="105" w:after="105"/>
        <w:ind w:firstLine="480"/>
        <w:jc w:val="left"/>
      </w:pPr>
      <w:r>
        <w:rPr>
          <w:b/>
        </w:rPr>
        <w:t xml:space="preserve">  9</w:t>
      </w:r>
      <w:r>
        <w:rPr>
          <w:rFonts w:ascii="宋体" w:hAnsi="宋体" w:cs="宋体" w:eastAsia="宋体"/>
          <w:b/>
          <w:color w:val="000000"/>
          <w:sz w:val="24"/>
        </w:rPr>
        <w:t>.6中标人应当合理估算交通拥堵等可预见的情况，确保快餐可及时送到；如因特殊情况可能导致快餐不能及时送到的，中标人应当立即启动应急方案，确保快餐按时到达。</w:t>
      </w:r>
    </w:p>
    <w:p>
      <w:pPr>
        <w:pStyle w:val="null3"/>
        <w:spacing w:before="105" w:after="105"/>
        <w:ind w:firstLine="480"/>
        <w:jc w:val="left"/>
      </w:pPr>
      <w:r>
        <w:rPr>
          <w:b/>
        </w:rPr>
        <w:t xml:space="preserve">  9</w:t>
      </w:r>
      <w:r>
        <w:rPr>
          <w:rFonts w:ascii="宋体" w:hAnsi="宋体" w:cs="宋体" w:eastAsia="宋体"/>
          <w:b/>
          <w:color w:val="000000"/>
          <w:sz w:val="24"/>
        </w:rPr>
        <w:t>.7中标人员工须持健康证上岗，每年进行健康体检，采购人有权随时进行抽查，中标人应积极配合采购人的检查；中标人员工必须着工作服、戴工作帽、口罩和手套，并保持干净整洁。</w:t>
      </w:r>
    </w:p>
    <w:p>
      <w:pPr>
        <w:pStyle w:val="null3"/>
        <w:spacing w:before="105" w:after="105"/>
        <w:ind w:firstLine="480"/>
        <w:jc w:val="left"/>
      </w:pPr>
      <w:r>
        <w:rPr>
          <w:b/>
        </w:rPr>
        <w:t xml:space="preserve">  9</w:t>
      </w:r>
      <w:r>
        <w:rPr>
          <w:rFonts w:ascii="宋体" w:hAnsi="宋体" w:cs="宋体" w:eastAsia="宋体"/>
          <w:b/>
          <w:color w:val="000000"/>
          <w:sz w:val="24"/>
        </w:rPr>
        <w:t>.8中标人对所制作的军供饮食安全必须有严格的监督、检测制度，确保制作的军供饮食没有任何质量问题。</w:t>
      </w:r>
    </w:p>
    <w:p>
      <w:pPr>
        <w:pStyle w:val="null3"/>
        <w:spacing w:before="105" w:after="105"/>
        <w:ind w:firstLine="480"/>
        <w:jc w:val="left"/>
      </w:pPr>
      <w:r>
        <w:rPr>
          <w:b/>
        </w:rPr>
        <w:t xml:space="preserve">  9</w:t>
      </w:r>
      <w:r>
        <w:rPr>
          <w:rFonts w:ascii="宋体" w:hAnsi="宋体" w:cs="宋体" w:eastAsia="宋体"/>
          <w:b/>
          <w:color w:val="000000"/>
          <w:sz w:val="24"/>
        </w:rPr>
        <w:t>.9中标人员工应自觉遵守甲方的保密要求，不得将军供饮食的时间、份数及地点对外透露，不得在电话、微信上谈及供餐事项，不得拍照上传至网络。如经发现中标人人员泄密，中标人应立即采取有效措施防止泄密事件的进一步扩大，并及时向采购人报告；同时中标人应主动配合国家安全部门的调查和处理，并承担由此造成的一切责任和损失（如果损失无法确定的，双方确定产生泄密的损失为50万元）。双方在签订合同时一并签订保密协议书。</w:t>
      </w:r>
    </w:p>
    <w:p>
      <w:pPr>
        <w:pStyle w:val="null3"/>
        <w:spacing w:before="345" w:after="330"/>
        <w:ind w:left="480" w:firstLine="480"/>
        <w:jc w:val="left"/>
      </w:pPr>
      <w:r>
        <w:rPr>
          <w:rFonts w:ascii="宋体" w:hAnsi="宋体" w:cs="宋体" w:eastAsia="宋体"/>
          <w:b/>
          <w:color w:val="000000"/>
          <w:sz w:val="24"/>
        </w:rPr>
        <w:t>10、其它要求：</w:t>
      </w:r>
    </w:p>
    <w:p>
      <w:pPr>
        <w:pStyle w:val="null3"/>
        <w:spacing w:before="105" w:after="105"/>
        <w:ind w:firstLine="420"/>
        <w:jc w:val="left"/>
      </w:pPr>
      <w:r>
        <w:rPr>
          <w:rFonts w:ascii="宋体" w:hAnsi="宋体" w:cs="宋体" w:eastAsia="宋体"/>
          <w:b/>
          <w:color w:val="000000"/>
          <w:sz w:val="24"/>
        </w:rPr>
        <w:t>10.1服务期内，中标人严格按照采购人根据国家法律或采购人行业政策调整、制定包含但不仅限于本招标文件或合同的制度，愿意接受以签订合同或者在原有合同基础上，签订补充协议的方式，接受采购人的监督和管理。中标人拒绝签订有关以上内容的合同或者补充协议的，即视为中标人自动放弃中标资格。</w:t>
      </w:r>
    </w:p>
    <w:p>
      <w:pPr>
        <w:pStyle w:val="null3"/>
        <w:spacing w:before="105" w:after="105"/>
        <w:ind w:firstLine="420"/>
        <w:jc w:val="left"/>
      </w:pPr>
      <w:r>
        <w:rPr>
          <w:rFonts w:ascii="宋体" w:hAnsi="宋体" w:cs="宋体" w:eastAsia="宋体"/>
          <w:b/>
          <w:color w:val="000000"/>
          <w:sz w:val="24"/>
        </w:rPr>
        <w:t>10.2采购人有权对中标人提供的套餐质量问题随时提出质疑，有权对部分原材料进行取样化验，并对供餐成品进行留样处理，并要求中标人在采购人监督下进行不定期抽样送检，中标人承担抽样送检的相应全部费用。</w:t>
      </w:r>
    </w:p>
    <w:p>
      <w:pPr>
        <w:pStyle w:val="null3"/>
        <w:spacing w:before="105" w:after="105"/>
        <w:ind w:firstLine="420"/>
        <w:jc w:val="left"/>
      </w:pPr>
      <w:r>
        <w:rPr>
          <w:rFonts w:ascii="宋体" w:hAnsi="宋体" w:cs="宋体" w:eastAsia="宋体"/>
          <w:b/>
          <w:color w:val="000000"/>
          <w:sz w:val="24"/>
        </w:rPr>
        <w:t>10.3采购人有权对中标人在军供保障食材的清洗、切制、烹饪、分装、装箱、装车等全过程进行监督、检查，中标人必须无条件接受甲方的监督和指导，对甲方提出的合理意见和建议要积极采纳，同时对存在的问题加以整改。</w:t>
      </w:r>
    </w:p>
    <w:p>
      <w:pPr>
        <w:pStyle w:val="null3"/>
        <w:spacing w:before="105" w:after="105"/>
        <w:ind w:firstLine="420"/>
        <w:jc w:val="left"/>
      </w:pPr>
      <w:r>
        <w:rPr>
          <w:rFonts w:ascii="宋体" w:hAnsi="宋体" w:cs="宋体" w:eastAsia="宋体"/>
          <w:b/>
          <w:color w:val="000000"/>
          <w:sz w:val="24"/>
        </w:rPr>
        <w:t>10.4中标人保证所供应的所有食品均来自合法渠道，且必须提供相应卫生合格证明、来源渠道证明及其他合法证明，做好台帐及留样工作，并随时接受采购人的查验。</w:t>
      </w:r>
    </w:p>
    <w:p>
      <w:pPr>
        <w:pStyle w:val="null3"/>
        <w:spacing w:before="105" w:after="105"/>
        <w:ind w:firstLine="420"/>
        <w:jc w:val="left"/>
      </w:pPr>
      <w:r>
        <w:rPr>
          <w:rFonts w:ascii="宋体" w:hAnsi="宋体" w:cs="宋体" w:eastAsia="宋体"/>
          <w:b/>
          <w:color w:val="000000"/>
          <w:sz w:val="24"/>
        </w:rPr>
        <w:t>10.5中标人必须投保食品安全责任险。</w:t>
      </w:r>
    </w:p>
    <w:p>
      <w:pPr>
        <w:pStyle w:val="null3"/>
        <w:spacing w:before="345" w:after="330"/>
        <w:ind w:left="480" w:firstLine="480"/>
        <w:jc w:val="left"/>
      </w:pPr>
      <w:r>
        <w:rPr>
          <w:rFonts w:ascii="宋体" w:hAnsi="宋体" w:cs="宋体" w:eastAsia="宋体"/>
          <w:b/>
          <w:color w:val="000000"/>
          <w:sz w:val="24"/>
        </w:rPr>
        <w:t>11</w:t>
      </w:r>
      <w:r>
        <w:rPr>
          <w:rFonts w:ascii="宋体" w:hAnsi="宋体" w:cs="宋体" w:eastAsia="宋体"/>
          <w:b/>
          <w:color w:val="000000"/>
          <w:sz w:val="24"/>
        </w:rPr>
        <w:t>、违约责任及处理办法</w:t>
      </w:r>
    </w:p>
    <w:p>
      <w:pPr>
        <w:pStyle w:val="null3"/>
        <w:spacing w:before="105" w:after="105"/>
        <w:ind w:firstLine="420"/>
        <w:jc w:val="left"/>
      </w:pPr>
      <w:r>
        <w:rPr>
          <w:rFonts w:ascii="宋体" w:hAnsi="宋体" w:cs="宋体" w:eastAsia="宋体"/>
          <w:b/>
          <w:color w:val="000000"/>
          <w:sz w:val="24"/>
        </w:rPr>
        <w:t>在服务期限内，中标人出现如下违约情形时，采购人视违约情况有权终止供餐协议，重新确定一家同类公司参与保障，对中标人违约罚款</w:t>
      </w:r>
      <w:r>
        <w:rPr>
          <w:rFonts w:ascii="宋体" w:hAnsi="宋体" w:cs="宋体" w:eastAsia="宋体"/>
          <w:b/>
          <w:color w:val="000000"/>
          <w:sz w:val="24"/>
        </w:rPr>
        <w:t>1万元处理并承担相应的责任：</w:t>
      </w:r>
    </w:p>
    <w:p>
      <w:pPr>
        <w:pStyle w:val="null3"/>
        <w:spacing w:before="105" w:after="105"/>
        <w:ind w:firstLine="420"/>
        <w:jc w:val="left"/>
      </w:pPr>
      <w:r>
        <w:rPr>
          <w:rFonts w:ascii="宋体" w:hAnsi="宋体" w:cs="宋体" w:eastAsia="宋体"/>
          <w:b/>
          <w:color w:val="000000"/>
          <w:sz w:val="24"/>
        </w:rPr>
        <w:t>11</w:t>
      </w:r>
      <w:r>
        <w:rPr>
          <w:rFonts w:ascii="宋体" w:hAnsi="宋体" w:cs="宋体" w:eastAsia="宋体"/>
          <w:b/>
          <w:color w:val="000000"/>
          <w:sz w:val="24"/>
        </w:rPr>
        <w:t>.1针对“</w:t>
      </w:r>
      <w:r>
        <w:rPr>
          <w:rFonts w:ascii="宋体" w:hAnsi="宋体" w:cs="宋体" w:eastAsia="宋体"/>
          <w:b/>
          <w:sz w:val="24"/>
        </w:rPr>
        <w:t>具体套餐要求</w:t>
      </w:r>
      <w:r>
        <w:rPr>
          <w:rFonts w:ascii="宋体" w:hAnsi="宋体" w:cs="宋体" w:eastAsia="宋体"/>
          <w:b/>
          <w:color w:val="000000"/>
          <w:sz w:val="24"/>
        </w:rPr>
        <w:t>”中套餐，中标人在服务期限内，有3次未能按照采购人要求提供相应套餐服务；</w:t>
      </w:r>
    </w:p>
    <w:p>
      <w:pPr>
        <w:pStyle w:val="null3"/>
        <w:spacing w:before="105" w:after="105"/>
        <w:ind w:firstLine="420"/>
        <w:jc w:val="left"/>
      </w:pPr>
      <w:r>
        <w:rPr>
          <w:rFonts w:ascii="宋体" w:hAnsi="宋体" w:cs="宋体" w:eastAsia="宋体"/>
          <w:b/>
          <w:color w:val="000000"/>
          <w:sz w:val="24"/>
        </w:rPr>
        <w:t>11</w:t>
      </w:r>
      <w:r>
        <w:rPr>
          <w:rFonts w:ascii="宋体" w:hAnsi="宋体" w:cs="宋体" w:eastAsia="宋体"/>
          <w:b/>
          <w:color w:val="000000"/>
          <w:sz w:val="24"/>
        </w:rPr>
        <w:t>.2提供违反《国家食品安全法》规定的食品安全标准的食品的；如发生食品安全事故的，按照本协议的其他约定执行。</w:t>
      </w:r>
    </w:p>
    <w:p>
      <w:pPr>
        <w:pStyle w:val="null3"/>
        <w:spacing w:before="105" w:after="105"/>
        <w:ind w:firstLine="420"/>
        <w:jc w:val="left"/>
      </w:pPr>
      <w:r>
        <w:rPr>
          <w:rFonts w:ascii="宋体" w:hAnsi="宋体" w:cs="宋体" w:eastAsia="宋体"/>
          <w:b/>
          <w:color w:val="000000"/>
          <w:sz w:val="24"/>
        </w:rPr>
        <w:t>11</w:t>
      </w:r>
      <w:r>
        <w:rPr>
          <w:rFonts w:ascii="宋体" w:hAnsi="宋体" w:cs="宋体" w:eastAsia="宋体"/>
          <w:b/>
          <w:color w:val="000000"/>
          <w:sz w:val="24"/>
        </w:rPr>
        <w:t>.3在采购人不定期抽样送检中发现中标人供货食品存在送检不合格2次以上的。</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★1、本章“三、商务条件”内容均为不允许负偏离的实质性要求,任意一项负偏离按无效投标处理。</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r>
    </w:p>
    <w:p>
      <w:pPr>
        <w:pStyle w:val="null3"/>
        <w:ind w:firstLine="480"/>
      </w:pPr>
      <w:r>
        <w:rPr/>
        <w:t xml:space="preserve">邮编：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jc w:val="right"/>
      </w:pPr>
      <w:r>
        <w:rPr/>
        <w:t>签署日期： 年 月 日</w:t>
      </w:r>
    </w:p>
    <w:p>
      <w:pPr>
        <w:pStyle w:val="null3"/>
        <w:ind w:firstLine="480"/>
      </w:pPr>
      <w:r>
        <w:rPr/>
        <w:t>附：单位负责人、投标人代表的身份证正反面复印件</w:t>
      </w:r>
    </w:p>
    <w:p>
      <w:pPr>
        <w:pStyle w:val="null3"/>
        <w:ind w:firstLine="960"/>
      </w:pPr>
    </w:p>
    <w:p>
      <w:pPr>
        <w:pStyle w:val="null3"/>
        <w:pBdr>
          <w:top w:val="dashed" w:color="000000" w:sz="4"/>
          <w:left w:val="dashed" w:color="000000" w:sz="4"/>
          <w:bottom w:val="dashed" w:color="000000" w:sz="4"/>
          <w:right w:val="dashed" w:color="000000" w:sz="4"/>
        </w:pBdr>
        <w:ind w:firstLine="960"/>
        <w:jc w:val="center"/>
      </w:pPr>
    </w:p>
    <w:p>
      <w:pPr>
        <w:pStyle w:val="null3"/>
        <w:jc w:val="center"/>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ind w:firstLine="960"/>
      </w:pPr>
      <w:r>
        <w:rPr/>
        <w:t xml:space="preserve"> </w:t>
      </w:r>
    </w:p>
    <w:p>
      <w:pPr>
        <w:pStyle w:val="null3"/>
        <w:ind w:firstLine="960"/>
        <w:jc w:val="center"/>
        <w:outlineLvl w:val="3"/>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pPr>
      <w:r>
        <w:rPr/>
        <w:t xml:space="preserve"> </w:t>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pPr>
      <w:r>
        <w:rPr/>
        <w:t xml:space="preserve"> </w:t>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ind w:firstLine="960"/>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pPr>
      <w:r>
        <w:rPr/>
        <w:t xml:space="preserve"> </w:t>
      </w:r>
    </w:p>
    <w:p>
      <w:pPr>
        <w:pStyle w:val="null3"/>
        <w:ind w:firstLine="960"/>
        <w:jc w:val="center"/>
        <w:outlineLvl w:val="3"/>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ind w:firstLine="960"/>
      </w:pPr>
      <w:r>
        <w:rPr/>
        <w:t xml:space="preserve"> </w:t>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pPr>
      <w:r>
        <w:rPr/>
        <w:t xml:space="preserve"> </w:t>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p>
            <w:pPr>
              <w:pStyle w:val="null3"/>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u w:val="single"/>
              </w:rPr>
              <w:t>　　　　　</w:t>
            </w:r>
            <w:r>
              <w:rPr/>
              <w:t>；</w:t>
            </w:r>
          </w:p>
          <w:p>
            <w:pPr>
              <w:pStyle w:val="null3"/>
            </w:pPr>
          </w:p>
          <w:p>
            <w:pPr>
              <w:pStyle w:val="null3"/>
            </w:pPr>
            <w:r>
              <w:rPr/>
              <w:t>b.采购包投标总价（报价总金额）：</w:t>
            </w:r>
            <w:r>
              <w:rPr>
                <w:u w:val="single"/>
              </w:rPr>
              <w:t>　　　　　</w:t>
            </w:r>
            <w:r>
              <w:rPr/>
              <w:t>；</w:t>
            </w:r>
          </w:p>
          <w:p>
            <w:pPr>
              <w:pStyle w:val="null3"/>
            </w:pPr>
          </w:p>
          <w:p>
            <w:pPr>
              <w:pStyle w:val="null3"/>
            </w:pPr>
            <w:r>
              <w:rPr/>
              <w:t>c.“采购包内属于节能、环境标志产品的报价总金额”占“采购包投标总价（报价总金额）”的比例（以%列示）：</w:t>
            </w:r>
            <w:r>
              <w:rPr>
                <w:u w:val="single"/>
              </w:rPr>
              <w:t>　　　　　</w:t>
            </w:r>
            <w:r>
              <w:rPr/>
              <w:t>；</w:t>
            </w:r>
          </w:p>
          <w:p>
            <w:pPr>
              <w:pStyle w:val="null3"/>
            </w:pP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outlineLvl w:val="3"/>
      </w:pPr>
      <w:r>
        <w:rPr>
          <w:b/>
          <w:sz w:val="24"/>
        </w:rPr>
        <w:t>残疾人福利性单位声明函（价格扣除适用，若有）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投标标的</w:t>
            </w:r>
          </w:p>
        </w:tc>
        <w:tc>
          <w:tcPr>
            <w:tcW w:type="dxa" w:w="1187"/>
          </w:tcPr>
          <w:p>
            <w:pPr>
              <w:pStyle w:val="null3"/>
            </w:pPr>
            <w:r>
              <w:rPr/>
              <w:t>数量</w:t>
            </w:r>
          </w:p>
        </w:tc>
        <w:tc>
          <w:tcPr>
            <w:tcW w:type="dxa" w:w="1187"/>
          </w:tcPr>
          <w:p>
            <w:pPr>
              <w:pStyle w:val="null3"/>
            </w:pPr>
            <w:r>
              <w:rPr/>
              <w:t>规格</w:t>
            </w:r>
          </w:p>
        </w:tc>
        <w:tc>
          <w:tcPr>
            <w:tcW w:type="dxa" w:w="1187"/>
          </w:tcPr>
          <w:p>
            <w:pPr>
              <w:pStyle w:val="null3"/>
            </w:pPr>
            <w:r>
              <w:rPr/>
              <w:t>来源地</w:t>
            </w:r>
          </w:p>
        </w:tc>
        <w:tc>
          <w:tcPr>
            <w:tcW w:type="dxa" w:w="1187"/>
          </w:tcPr>
          <w:p>
            <w:pPr>
              <w:pStyle w:val="null3"/>
            </w:pPr>
            <w:r>
              <w:rPr/>
              <w:t>备注</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