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660" w:lineRule="exact"/>
        <w:jc w:val="both"/>
        <w:rPr>
          <w:rFonts w:hint="eastAsia" w:ascii="黑体" w:hAnsi="Microsoft YaHei UI" w:eastAsia="黑体" w:cs="Microsoft YaHei UI"/>
          <w:color w:val="000000"/>
          <w:spacing w:val="8"/>
          <w:sz w:val="32"/>
          <w:szCs w:val="32"/>
          <w:shd w:val="clear" w:color="auto" w:fill="FFFFFF"/>
        </w:rPr>
      </w:pPr>
      <w:r>
        <w:rPr>
          <w:rFonts w:hint="eastAsia" w:ascii="黑体" w:hAnsi="Microsoft YaHei UI" w:eastAsia="黑体" w:cs="Microsoft YaHei UI"/>
          <w:color w:val="000000"/>
          <w:spacing w:val="8"/>
          <w:sz w:val="32"/>
          <w:szCs w:val="32"/>
          <w:shd w:val="clear" w:color="auto" w:fill="FFFFFF"/>
        </w:rPr>
        <w:t>附件2</w:t>
      </w:r>
    </w:p>
    <w:p>
      <w:pPr>
        <w:pStyle w:val="2"/>
        <w:widowControl/>
        <w:shd w:val="clear" w:color="auto" w:fill="FFFFFF"/>
        <w:spacing w:beforeAutospacing="0" w:afterAutospacing="0" w:line="660" w:lineRule="exact"/>
        <w:jc w:val="center"/>
        <w:rPr>
          <w:rFonts w:hint="eastAsia" w:ascii="方正小标宋简体" w:hAnsi="Microsoft YaHei UI" w:eastAsia="方正小标宋简体" w:cs="Microsoft YaHei UI"/>
          <w:color w:val="000000"/>
          <w:spacing w:val="-8"/>
          <w:sz w:val="32"/>
          <w:szCs w:val="32"/>
          <w:shd w:val="clear" w:color="auto" w:fill="FFFFFF"/>
        </w:rPr>
      </w:pPr>
      <w:r>
        <w:rPr>
          <w:rFonts w:hint="eastAsia" w:ascii="方正小标宋简体" w:hAnsi="Microsoft YaHei UI" w:eastAsia="方正小标宋简体" w:cs="Microsoft YaHei UI"/>
          <w:color w:val="000000"/>
          <w:spacing w:val="-8"/>
          <w:sz w:val="32"/>
          <w:szCs w:val="32"/>
          <w:shd w:val="clear" w:color="auto" w:fill="FFFFFF"/>
        </w:rPr>
        <w:t>中国职业培训在线等4家线上培训平台机构名单</w:t>
      </w:r>
    </w:p>
    <w:tbl>
      <w:tblPr>
        <w:tblStyle w:val="5"/>
        <w:tblpPr w:leftFromText="180" w:rightFromText="180" w:vertAnchor="text" w:horzAnchor="page" w:tblpX="1032" w:tblpY="135"/>
        <w:tblOverlap w:val="never"/>
        <w:tblW w:w="10039" w:type="dxa"/>
        <w:tblInd w:w="0" w:type="dxa"/>
        <w:tblLayout w:type="fixed"/>
        <w:tblCellMar>
          <w:top w:w="0" w:type="dxa"/>
          <w:left w:w="0" w:type="dxa"/>
          <w:bottom w:w="0" w:type="dxa"/>
          <w:right w:w="0" w:type="dxa"/>
        </w:tblCellMar>
      </w:tblPr>
      <w:tblGrid>
        <w:gridCol w:w="673"/>
        <w:gridCol w:w="1125"/>
        <w:gridCol w:w="2197"/>
        <w:gridCol w:w="4700"/>
        <w:gridCol w:w="1344"/>
      </w:tblGrid>
      <w:tr>
        <w:tblPrEx>
          <w:tblLayout w:type="fixed"/>
          <w:tblCellMar>
            <w:top w:w="0" w:type="dxa"/>
            <w:left w:w="0" w:type="dxa"/>
            <w:bottom w:w="0" w:type="dxa"/>
            <w:right w:w="0" w:type="dxa"/>
          </w:tblCellMar>
        </w:tblPrEx>
        <w:trPr>
          <w:trHeight w:val="346" w:hRule="atLeast"/>
        </w:trPr>
        <w:tc>
          <w:tcPr>
            <w:tcW w:w="6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center"/>
              <w:rPr>
                <w:rFonts w:hint="eastAsia" w:ascii="黑体" w:hAnsi="黑体" w:eastAsia="黑体" w:cs="黑体"/>
                <w:bCs/>
                <w:color w:val="000000"/>
                <w:sz w:val="21"/>
                <w:szCs w:val="21"/>
              </w:rPr>
            </w:pPr>
            <w:r>
              <w:rPr>
                <w:rStyle w:val="4"/>
                <w:rFonts w:hint="eastAsia" w:ascii="黑体" w:hAnsi="黑体" w:eastAsia="黑体" w:cs="黑体"/>
                <w:b w:val="0"/>
                <w:bCs/>
                <w:color w:val="000000"/>
                <w:spacing w:val="8"/>
                <w:sz w:val="21"/>
                <w:szCs w:val="21"/>
              </w:rPr>
              <w:t>序号</w:t>
            </w:r>
          </w:p>
        </w:tc>
        <w:tc>
          <w:tcPr>
            <w:tcW w:w="11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center"/>
              <w:rPr>
                <w:rFonts w:hint="eastAsia" w:ascii="黑体" w:hAnsi="黑体" w:eastAsia="黑体" w:cs="黑体"/>
                <w:bCs/>
                <w:color w:val="000000"/>
                <w:sz w:val="21"/>
                <w:szCs w:val="21"/>
              </w:rPr>
            </w:pPr>
            <w:r>
              <w:rPr>
                <w:rStyle w:val="4"/>
                <w:rFonts w:hint="eastAsia" w:ascii="黑体" w:hAnsi="黑体" w:eastAsia="黑体" w:cs="黑体"/>
                <w:b w:val="0"/>
                <w:bCs/>
                <w:color w:val="000000"/>
                <w:spacing w:val="8"/>
                <w:sz w:val="21"/>
                <w:szCs w:val="21"/>
              </w:rPr>
              <w:t>机构名称</w:t>
            </w:r>
          </w:p>
        </w:tc>
        <w:tc>
          <w:tcPr>
            <w:tcW w:w="2197"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center"/>
              <w:rPr>
                <w:rFonts w:hint="eastAsia" w:ascii="黑体" w:hAnsi="黑体" w:eastAsia="黑体" w:cs="黑体"/>
                <w:bCs/>
                <w:color w:val="000000"/>
                <w:sz w:val="21"/>
                <w:szCs w:val="21"/>
              </w:rPr>
            </w:pPr>
            <w:r>
              <w:rPr>
                <w:rStyle w:val="4"/>
                <w:rFonts w:hint="eastAsia" w:ascii="黑体" w:hAnsi="黑体" w:eastAsia="黑体" w:cs="黑体"/>
                <w:b w:val="0"/>
                <w:bCs/>
                <w:color w:val="000000"/>
                <w:spacing w:val="8"/>
                <w:sz w:val="21"/>
                <w:szCs w:val="21"/>
              </w:rPr>
              <w:t>平台名称及网址</w:t>
            </w:r>
          </w:p>
        </w:tc>
        <w:tc>
          <w:tcPr>
            <w:tcW w:w="47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center"/>
              <w:rPr>
                <w:rFonts w:hint="eastAsia" w:ascii="黑体" w:hAnsi="黑体" w:eastAsia="黑体" w:cs="黑体"/>
                <w:bCs/>
                <w:color w:val="000000"/>
                <w:sz w:val="21"/>
                <w:szCs w:val="21"/>
              </w:rPr>
            </w:pPr>
            <w:r>
              <w:rPr>
                <w:rStyle w:val="4"/>
                <w:rFonts w:hint="eastAsia" w:ascii="黑体" w:hAnsi="黑体" w:eastAsia="黑体" w:cs="黑体"/>
                <w:b w:val="0"/>
                <w:bCs/>
                <w:color w:val="000000"/>
                <w:spacing w:val="8"/>
                <w:sz w:val="21"/>
                <w:szCs w:val="21"/>
              </w:rPr>
              <w:t>平台资源简述</w:t>
            </w:r>
          </w:p>
        </w:tc>
        <w:tc>
          <w:tcPr>
            <w:tcW w:w="134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center"/>
              <w:rPr>
                <w:rStyle w:val="4"/>
                <w:rFonts w:hint="eastAsia" w:ascii="黑体" w:hAnsi="黑体" w:eastAsia="黑体" w:cs="黑体"/>
                <w:b w:val="0"/>
                <w:bCs/>
                <w:color w:val="000000"/>
                <w:spacing w:val="8"/>
                <w:sz w:val="21"/>
                <w:szCs w:val="21"/>
              </w:rPr>
            </w:pPr>
            <w:r>
              <w:rPr>
                <w:rStyle w:val="4"/>
                <w:rFonts w:hint="eastAsia" w:ascii="黑体" w:hAnsi="黑体" w:eastAsia="黑体" w:cs="黑体"/>
                <w:b w:val="0"/>
                <w:bCs/>
                <w:color w:val="000000"/>
                <w:spacing w:val="8"/>
                <w:sz w:val="21"/>
                <w:szCs w:val="21"/>
              </w:rPr>
              <w:t>联系人</w:t>
            </w:r>
          </w:p>
        </w:tc>
      </w:tr>
      <w:tr>
        <w:tblPrEx>
          <w:tblLayout w:type="fixed"/>
          <w:tblCellMar>
            <w:top w:w="0" w:type="dxa"/>
            <w:left w:w="0" w:type="dxa"/>
            <w:bottom w:w="0" w:type="dxa"/>
            <w:right w:w="0" w:type="dxa"/>
          </w:tblCellMar>
        </w:tblPrEx>
        <w:trPr>
          <w:trHeight w:val="2518" w:hRule="atLeast"/>
        </w:trPr>
        <w:tc>
          <w:tcPr>
            <w:tcW w:w="67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center"/>
              <w:rPr>
                <w:rFonts w:hint="eastAsia" w:ascii="宋体" w:hAnsi="宋体" w:cs="宋体"/>
                <w:color w:val="000000"/>
                <w:sz w:val="21"/>
                <w:szCs w:val="21"/>
              </w:rPr>
            </w:pPr>
            <w:r>
              <w:rPr>
                <w:rFonts w:hint="eastAsia" w:ascii="宋体" w:hAnsi="宋体" w:cs="宋体"/>
                <w:color w:val="000000"/>
                <w:spacing w:val="8"/>
                <w:sz w:val="21"/>
                <w:szCs w:val="21"/>
              </w:rPr>
              <w:t>1</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人力资源社会保障部中国人力资源社会保障出版集团</w:t>
            </w:r>
          </w:p>
        </w:tc>
        <w:tc>
          <w:tcPr>
            <w:tcW w:w="2197"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wordWrap w:val="0"/>
              <w:jc w:val="left"/>
              <w:rPr>
                <w:rFonts w:hint="eastAsia" w:ascii="宋体" w:hAnsi="宋体" w:cs="宋体"/>
                <w:color w:val="000000"/>
                <w:spacing w:val="8"/>
                <w:kern w:val="0"/>
                <w:szCs w:val="21"/>
              </w:rPr>
            </w:pPr>
            <w:r>
              <w:rPr>
                <w:rFonts w:hint="eastAsia" w:ascii="宋体" w:hAnsi="宋体" w:cs="宋体"/>
                <w:color w:val="000000"/>
                <w:spacing w:val="8"/>
                <w:kern w:val="0"/>
                <w:szCs w:val="21"/>
              </w:rPr>
              <w:t>中国职业培训在线</w:t>
            </w:r>
          </w:p>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https://px.class.com.cn</w:t>
            </w:r>
          </w:p>
        </w:tc>
        <w:tc>
          <w:tcPr>
            <w:tcW w:w="47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主要涉及通用职业素质、生产制造、交通运输、家庭服务、餐饮服务、生活服务、管理、创业等领域；主要有工匠精神、养老护理员、家政服务员、育婴师、电工、焊工、车工、数控车工、汽车修理工、企业人力资源管理师、劳动关系协调员、中式烹调师、抹灰师、美发师、茶艺师、保安员、钳工等50个以上职业培训课程及相关教学资源。</w:t>
            </w:r>
          </w:p>
        </w:tc>
        <w:tc>
          <w:tcPr>
            <w:tcW w:w="13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兰洁</w:t>
            </w:r>
          </w:p>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010-64962031</w:t>
            </w:r>
          </w:p>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13488809182</w:t>
            </w:r>
          </w:p>
        </w:tc>
      </w:tr>
      <w:tr>
        <w:tblPrEx>
          <w:tblLayout w:type="fixed"/>
          <w:tblCellMar>
            <w:top w:w="0" w:type="dxa"/>
            <w:left w:w="0" w:type="dxa"/>
            <w:bottom w:w="0" w:type="dxa"/>
            <w:right w:w="0" w:type="dxa"/>
          </w:tblCellMar>
        </w:tblPrEx>
        <w:trPr>
          <w:trHeight w:val="1144" w:hRule="atLeast"/>
        </w:trPr>
        <w:tc>
          <w:tcPr>
            <w:tcW w:w="673" w:type="dxa"/>
            <w:vMerge w:val="restart"/>
            <w:tcBorders>
              <w:top w:val="nil"/>
              <w:left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center"/>
              <w:rPr>
                <w:rFonts w:hint="eastAsia" w:ascii="宋体" w:hAnsi="宋体" w:cs="宋体"/>
                <w:color w:val="000000"/>
                <w:sz w:val="21"/>
                <w:szCs w:val="21"/>
              </w:rPr>
            </w:pPr>
            <w:r>
              <w:rPr>
                <w:rFonts w:hint="eastAsia" w:ascii="宋体" w:hAnsi="宋体" w:cs="宋体"/>
                <w:color w:val="000000"/>
                <w:spacing w:val="8"/>
                <w:sz w:val="21"/>
                <w:szCs w:val="21"/>
              </w:rPr>
              <w:t>2</w:t>
            </w:r>
          </w:p>
        </w:tc>
        <w:tc>
          <w:tcPr>
            <w:tcW w:w="1125" w:type="dxa"/>
            <w:vMerge w:val="restart"/>
            <w:tcBorders>
              <w:top w:val="nil"/>
              <w:left w:val="nil"/>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中国就业培训技术指导中心</w:t>
            </w:r>
          </w:p>
        </w:tc>
        <w:tc>
          <w:tcPr>
            <w:tcW w:w="219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就业创业和职业培训在线</w:t>
            </w:r>
          </w:p>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https://jc.mohrss.gov.cn</w:t>
            </w:r>
          </w:p>
        </w:tc>
        <w:tc>
          <w:tcPr>
            <w:tcW w:w="47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汇集在线职业指导、新业态就业、各类技能培训以及创业培训音频视频，为劳动者提供持续化的线上指导和服务。</w:t>
            </w:r>
          </w:p>
        </w:tc>
        <w:tc>
          <w:tcPr>
            <w:tcW w:w="1344" w:type="dxa"/>
            <w:vMerge w:val="restart"/>
            <w:tcBorders>
              <w:top w:val="single" w:color="auto" w:sz="6" w:space="0"/>
              <w:left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姜郁</w:t>
            </w:r>
          </w:p>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010-84661161</w:t>
            </w:r>
          </w:p>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13910770983</w:t>
            </w:r>
          </w:p>
        </w:tc>
      </w:tr>
      <w:tr>
        <w:tblPrEx>
          <w:tblLayout w:type="fixed"/>
          <w:tblCellMar>
            <w:top w:w="0" w:type="dxa"/>
            <w:left w:w="0" w:type="dxa"/>
            <w:bottom w:w="0" w:type="dxa"/>
            <w:right w:w="0" w:type="dxa"/>
          </w:tblCellMar>
        </w:tblPrEx>
        <w:trPr>
          <w:trHeight w:val="1460" w:hRule="atLeast"/>
        </w:trPr>
        <w:tc>
          <w:tcPr>
            <w:tcW w:w="673" w:type="dxa"/>
            <w:vMerge w:val="continue"/>
            <w:tcBorders>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sz w:val="21"/>
                <w:szCs w:val="21"/>
              </w:rPr>
            </w:pPr>
          </w:p>
        </w:tc>
        <w:tc>
          <w:tcPr>
            <w:tcW w:w="1125" w:type="dxa"/>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sz w:val="21"/>
                <w:szCs w:val="21"/>
              </w:rPr>
            </w:pPr>
          </w:p>
        </w:tc>
        <w:tc>
          <w:tcPr>
            <w:tcW w:w="219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新职业在线学习平台</w:t>
            </w:r>
          </w:p>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https://xzy.mohrss.gov.cn</w:t>
            </w:r>
          </w:p>
        </w:tc>
        <w:tc>
          <w:tcPr>
            <w:tcW w:w="47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集中展示人力资源和社会保障部发布的各新职业在线学习课程和线下培训信息，为社会公众提供学习平台，积极发挥新职业稳就业、促发展的重要作用。</w:t>
            </w:r>
          </w:p>
        </w:tc>
        <w:tc>
          <w:tcPr>
            <w:tcW w:w="1344" w:type="dxa"/>
            <w:vMerge w:val="continue"/>
            <w:tcBorders>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p>
        </w:tc>
      </w:tr>
      <w:tr>
        <w:tblPrEx>
          <w:tblLayout w:type="fixed"/>
          <w:tblCellMar>
            <w:top w:w="0" w:type="dxa"/>
            <w:left w:w="0" w:type="dxa"/>
            <w:bottom w:w="0" w:type="dxa"/>
            <w:right w:w="0" w:type="dxa"/>
          </w:tblCellMar>
        </w:tblPrEx>
        <w:trPr>
          <w:trHeight w:val="2192" w:hRule="atLeast"/>
        </w:trPr>
        <w:tc>
          <w:tcPr>
            <w:tcW w:w="6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center"/>
              <w:rPr>
                <w:rFonts w:hint="eastAsia" w:ascii="宋体" w:hAnsi="宋体" w:cs="宋体"/>
                <w:color w:val="000000"/>
                <w:sz w:val="21"/>
                <w:szCs w:val="21"/>
              </w:rPr>
            </w:pPr>
            <w:r>
              <w:rPr>
                <w:rFonts w:hint="eastAsia" w:ascii="宋体" w:hAnsi="宋体" w:cs="宋体"/>
                <w:color w:val="000000"/>
                <w:spacing w:val="8"/>
                <w:sz w:val="21"/>
                <w:szCs w:val="21"/>
              </w:rPr>
              <w:t>3</w:t>
            </w:r>
          </w:p>
        </w:tc>
        <w:tc>
          <w:tcPr>
            <w:tcW w:w="11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人力资源社会保障部中国公务员高级培训中心</w:t>
            </w:r>
          </w:p>
        </w:tc>
        <w:tc>
          <w:tcPr>
            <w:tcW w:w="219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rPr>
                <w:rFonts w:hint="eastAsia" w:ascii="宋体" w:hAnsi="宋体" w:cs="宋体"/>
                <w:color w:val="000000"/>
                <w:spacing w:val="8"/>
                <w:sz w:val="21"/>
                <w:szCs w:val="21"/>
              </w:rPr>
            </w:pPr>
            <w:r>
              <w:rPr>
                <w:rFonts w:hint="eastAsia" w:ascii="宋体" w:hAnsi="宋体" w:cs="宋体"/>
                <w:color w:val="000000"/>
                <w:spacing w:val="8"/>
                <w:sz w:val="21"/>
                <w:szCs w:val="21"/>
              </w:rPr>
              <w:t>中国国家人事人才培训网</w:t>
            </w:r>
          </w:p>
          <w:p>
            <w:pPr>
              <w:pStyle w:val="2"/>
              <w:widowControl/>
              <w:wordWrap w:val="0"/>
              <w:spacing w:beforeAutospacing="0" w:afterAutospacing="0"/>
              <w:rPr>
                <w:rFonts w:hint="eastAsia" w:ascii="宋体" w:hAnsi="宋体" w:cs="宋体"/>
                <w:color w:val="000000"/>
                <w:spacing w:val="8"/>
                <w:sz w:val="21"/>
                <w:szCs w:val="21"/>
              </w:rPr>
            </w:pPr>
            <w:r>
              <w:rPr>
                <w:rFonts w:hint="eastAsia" w:ascii="宋体" w:hAnsi="宋体" w:cs="宋体"/>
                <w:color w:val="000000"/>
                <w:spacing w:val="8"/>
                <w:sz w:val="21"/>
                <w:szCs w:val="21"/>
              </w:rPr>
              <w:t>https://www.chinanet.gov.cn</w:t>
            </w:r>
          </w:p>
        </w:tc>
        <w:tc>
          <w:tcPr>
            <w:tcW w:w="47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主要包含疫情防控、建筑、软件开发、电子设备制造维修、创业指导、安全生产等领域；主要有：抗疫答疑、施工图设计、Java开发、电力电缆与光缆生产设备维护与保养、供应链创新与应用、安全生产管理与工伤事故预防等多个职业（工种/岗位）技能。</w:t>
            </w:r>
          </w:p>
        </w:tc>
        <w:tc>
          <w:tcPr>
            <w:tcW w:w="13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史军燕</w:t>
            </w:r>
          </w:p>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010-64829607</w:t>
            </w:r>
          </w:p>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13910066209</w:t>
            </w:r>
          </w:p>
        </w:tc>
      </w:tr>
      <w:tr>
        <w:tblPrEx>
          <w:tblLayout w:type="fixed"/>
          <w:tblCellMar>
            <w:top w:w="0" w:type="dxa"/>
            <w:left w:w="0" w:type="dxa"/>
            <w:bottom w:w="0" w:type="dxa"/>
            <w:right w:w="0" w:type="dxa"/>
          </w:tblCellMar>
        </w:tblPrEx>
        <w:trPr>
          <w:trHeight w:val="2267" w:hRule="atLeast"/>
        </w:trPr>
        <w:tc>
          <w:tcPr>
            <w:tcW w:w="6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center"/>
              <w:rPr>
                <w:rFonts w:hint="eastAsia" w:ascii="宋体" w:hAnsi="宋体" w:cs="宋体"/>
                <w:color w:val="000000"/>
                <w:sz w:val="21"/>
                <w:szCs w:val="21"/>
              </w:rPr>
            </w:pPr>
            <w:r>
              <w:rPr>
                <w:rFonts w:hint="eastAsia" w:ascii="宋体" w:hAnsi="宋体" w:cs="宋体"/>
                <w:color w:val="000000"/>
                <w:spacing w:val="8"/>
                <w:sz w:val="21"/>
                <w:szCs w:val="21"/>
              </w:rPr>
              <w:t>4</w:t>
            </w:r>
          </w:p>
        </w:tc>
        <w:tc>
          <w:tcPr>
            <w:tcW w:w="11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人力资源和社会保障部教育培训中心</w:t>
            </w:r>
          </w:p>
        </w:tc>
        <w:tc>
          <w:tcPr>
            <w:tcW w:w="219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人力资源和社会保障部教育培训网</w:t>
            </w:r>
          </w:p>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https://edu.mohrss.gov.cn</w:t>
            </w:r>
          </w:p>
        </w:tc>
        <w:tc>
          <w:tcPr>
            <w:tcW w:w="47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主要包括新媒体运营、移动机器人、社会心理、生活服务、计算机应用、物流、建筑、信息安全等领域；主要有：新媒体运营、移动机器人技术、社会心理服务、新餐饮门店管理、先进计算应用技术、智慧物流、装配式建筑制造管理、电竞赛事运营、信息安全技术、绿色建筑设计、二手车车况检测等数个职业（工种/岗位）技能。</w:t>
            </w:r>
          </w:p>
        </w:tc>
        <w:tc>
          <w:tcPr>
            <w:tcW w:w="13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任大为</w:t>
            </w:r>
          </w:p>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010-64842152</w:t>
            </w:r>
          </w:p>
          <w:p>
            <w:pPr>
              <w:pStyle w:val="2"/>
              <w:widowControl/>
              <w:wordWrap w:val="0"/>
              <w:spacing w:beforeAutospacing="0" w:afterAutospacing="0"/>
              <w:jc w:val="both"/>
              <w:rPr>
                <w:rFonts w:hint="eastAsia" w:ascii="宋体" w:hAnsi="宋体" w:cs="宋体"/>
                <w:color w:val="000000"/>
                <w:spacing w:val="8"/>
                <w:sz w:val="21"/>
                <w:szCs w:val="21"/>
              </w:rPr>
            </w:pPr>
            <w:r>
              <w:rPr>
                <w:rFonts w:hint="eastAsia" w:ascii="宋体" w:hAnsi="宋体" w:cs="宋体"/>
                <w:color w:val="000000"/>
                <w:spacing w:val="8"/>
                <w:sz w:val="21"/>
                <w:szCs w:val="21"/>
              </w:rPr>
              <w:t>17600306916</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微软雅黑"/>
    <w:panose1 w:val="020B0503020204020204"/>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90F60"/>
    <w:rsid w:val="75990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ascii="Calibri" w:hAnsi="Calibri"/>
      <w:kern w:val="0"/>
      <w:sz w:val="24"/>
    </w:rPr>
  </w:style>
  <w:style w:type="character" w:styleId="4">
    <w:name w:val="Strong"/>
    <w:basedOn w:val="3"/>
    <w:uiPriority w:val="0"/>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2020-04-15T02:11:00Z</dcterms:created>
  <dc:creator>Lenovo</dc:creator>
  <cp:lastModifiedBy>Lenovo</cp:lastModifiedBy>
  <dcterms:modified xsi:type="dcterms:W3CDTF">2020-04-15T02:13:04Z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